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cs="Times New Roman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附件</w:t>
      </w:r>
    </w:p>
    <w:p>
      <w:pPr>
        <w:widowControl/>
        <w:jc w:val="center"/>
        <w:rPr>
          <w:rFonts w:ascii="宋体" w:cs="Times New Roman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32"/>
          <w:szCs w:val="32"/>
        </w:rPr>
        <w:t>20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宋体" w:hAnsi="宋体" w:cs="宋体"/>
          <w:b/>
          <w:bCs/>
          <w:sz w:val="32"/>
          <w:szCs w:val="32"/>
        </w:rPr>
        <w:t>年上半年网络直播讲座安排表</w:t>
      </w:r>
    </w:p>
    <w:p>
      <w:pPr>
        <w:widowControl/>
        <w:jc w:val="left"/>
        <w:rPr>
          <w:rFonts w:ascii="宋体" w:cs="Times New Roman"/>
          <w:b/>
          <w:bCs/>
        </w:rPr>
      </w:pPr>
    </w:p>
    <w:tbl>
      <w:tblPr>
        <w:tblStyle w:val="2"/>
        <w:tblW w:w="8249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3279"/>
        <w:gridCol w:w="943"/>
        <w:gridCol w:w="2739"/>
        <w:gridCol w:w="72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3279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讲座名称</w:t>
            </w:r>
          </w:p>
        </w:tc>
        <w:tc>
          <w:tcPr>
            <w:tcW w:w="94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讲座</w:t>
            </w:r>
          </w:p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时间</w:t>
            </w:r>
          </w:p>
        </w:tc>
        <w:tc>
          <w:tcPr>
            <w:tcW w:w="2739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主讲教师</w:t>
            </w:r>
          </w:p>
        </w:tc>
        <w:tc>
          <w:tcPr>
            <w:tcW w:w="725" w:type="dxa"/>
          </w:tcPr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培训</w:t>
            </w:r>
          </w:p>
          <w:p>
            <w:pPr>
              <w:widowControl/>
              <w:spacing w:line="400" w:lineRule="exact"/>
              <w:jc w:val="center"/>
              <w:rPr>
                <w:rFonts w:asci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</w:rPr>
              <w:t>地点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tcBorders>
              <w:top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27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规范伦理学的四种形态</w:t>
            </w:r>
          </w:p>
        </w:tc>
        <w:tc>
          <w:tcPr>
            <w:tcW w:w="94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3月10日</w:t>
            </w:r>
          </w:p>
        </w:tc>
        <w:tc>
          <w:tcPr>
            <w:tcW w:w="2739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龚群（中国人民大学）</w:t>
            </w:r>
          </w:p>
        </w:tc>
        <w:tc>
          <w:tcPr>
            <w:tcW w:w="725" w:type="dxa"/>
            <w:vMerge w:val="restart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教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师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任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选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地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点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通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过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网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络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加</w:t>
            </w: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cs="Times New Roman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教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师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任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选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地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点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通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过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网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络</w:t>
            </w:r>
          </w:p>
          <w:p>
            <w:pPr>
              <w:jc w:val="center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</w:t>
            </w:r>
          </w:p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一流本科课程建设思考和探索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3月11日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张莉（北京航空航天大学）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基于微软PowerPoint规范高效编制多媒体课件（上）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3月17日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裴纯礼（北京师范大学）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基于微软PowerPoint规范高效编制多媒体课件（下）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3月18日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裴纯礼（北京师范大学）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新材料研究中的科学问题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3月23日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张人佶（清华大学）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科学思想与人文精神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3月24日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董川（山西大学）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习总书记在全国教育大会上的讲话精神解读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3月25日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鲍善冰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（山西大学）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高校学生工作的新思考、新认识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3月26日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鲍善冰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（山西大学）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基础核心课程的研究型教学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3月30日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熊庆旭（北京航空航天大学）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确立教学学术理念，优化课程教学设计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3月31日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徐宝芳（内蒙古师范大学）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外语听力教学的理念与实践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4月1日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杨鲁新（北京外国语大学）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用现代教育技术点燃高校课堂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4月2日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潘月明（浙江理工大学）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课程思政的理论与实践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4月7日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梅赐琪（清华大学）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高校教师职业发展的有效进阶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4月8日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刘平青（北京理工大学）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279" w:type="dxa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新材料，新技术，新工艺，新装备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4月9日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张人佶（清华大学）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社会科学类实证研究——问卷设计与抽样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4月13日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宋毅（北京外国语大学）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面向未来的高校智慧课堂建设与教师数字化教育能力培养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4月14日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周华丽（北京联合大学）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传媒业的智能化趋势及其影响   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4月15日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彭兰（清华大学）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</w:t>
            </w:r>
          </w:p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大学数学的诗意教学</w:t>
            </w:r>
          </w:p>
        </w:tc>
        <w:tc>
          <w:tcPr>
            <w:tcW w:w="943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4月16日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叶慧（江苏科技大学）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3279" w:type="dxa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古代文学创新人才培养系列教材建设与教学实践  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4月20日</w:t>
            </w:r>
          </w:p>
        </w:tc>
        <w:tc>
          <w:tcPr>
            <w:tcW w:w="2739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李浩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（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西北大学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） 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思维导图支持的高校教学创新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4月22日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杜玉霞（广州大学）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顶天立地与知行合一：青年教师成长的时间表与路线图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4月23日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甘德安（北京德成经济研究院）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BOPPPS有效教学结构的研究与实践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4月28日 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岳瑞锋（北京林业大学）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基于建构主义学习理论的工科专业课程教学设计与实践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5月6日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常鹏（北京交通大学）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新工科建设的思路和经验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5月7日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罗森林（北京理工大学）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Mathematica在教学中的应用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5月11日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侯风波（承德石油高等专科学校）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思政课程与课程思政融合发展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5月12日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高宁（北京航空航天大学）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慕课建设及线上线下混合式教学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5月13日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俎云霄（北京邮电大学）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基于雨课堂和BOPPPS 模型的混合式金课设计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5月14日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鄂明成（北京交通大学）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Matlab在教学中的应用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5月18日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侯风波（承德石油高等专科学校）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基于提高自主学习能力的本科生毕业论文训练体系  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5月19日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马忠（北京交通大学）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高校青年教师如何提升教学基本功 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5月20日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王金发（中山大学）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一流课程建设下高校教师教学能力提升策略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5月25日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姚利民（湖南大学）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统计学类专业教学质量国家标准解读解读与应用探讨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5月27日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曾五一（厦门大学）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新农科建设的探索与实践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5月28日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林万龙（中国农业大学）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构建以“学生为中心”的人本主义课堂教学模式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6月9日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t>任璐颖（集美大学）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淘汰水课，建设金课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6月10日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李凤霞（北京理工大学）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327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中美大学的通识教育之比较    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6月11日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李晖（北京理工大学）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3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3279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课程—专业—学院三级联动打造金课路径与实践探索</w:t>
            </w:r>
          </w:p>
        </w:tc>
        <w:tc>
          <w:tcPr>
            <w:tcW w:w="94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6月18日</w:t>
            </w:r>
          </w:p>
        </w:tc>
        <w:tc>
          <w:tcPr>
            <w:tcW w:w="2739" w:type="dxa"/>
            <w:vAlign w:val="center"/>
          </w:tcPr>
          <w:p>
            <w:pP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王云琦（北京林业大学）</w:t>
            </w:r>
          </w:p>
        </w:tc>
        <w:tc>
          <w:tcPr>
            <w:tcW w:w="725" w:type="dxa"/>
            <w:vMerge w:val="continue"/>
          </w:tcPr>
          <w:p>
            <w:pPr>
              <w:ind w:firstLine="180" w:firstLineChars="100"/>
              <w:rPr>
                <w:rFonts w:ascii="宋体" w:cs="Times New Roman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E6A65"/>
    <w:rsid w:val="347E6A65"/>
    <w:rsid w:val="36765C54"/>
    <w:rsid w:val="585531D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2019-04-24T06:19:00Z</dcterms:created>
  <dc:creator>二胡的弦</dc:creator>
  <cp:lastModifiedBy>Administrator</cp:lastModifiedBy>
  <dcterms:modified xsi:type="dcterms:W3CDTF">2020-03-09T03:53:25Z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