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附件1</w:t>
      </w:r>
    </w:p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选课手册</w:t>
      </w:r>
    </w:p>
    <w:p>
      <w:pPr>
        <w:spacing w:line="360" w:lineRule="auto"/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选课过程说明（</w:t>
      </w:r>
      <w:r>
        <w:rPr>
          <w:rFonts w:hint="eastAsia" w:ascii="宋体" w:hAnsi="宋体"/>
          <w:b/>
          <w:color w:val="FF0000"/>
          <w:sz w:val="32"/>
        </w:rPr>
        <w:t>直选式：即先到先得，选满为止</w:t>
      </w:r>
      <w:r>
        <w:rPr>
          <w:rFonts w:hint="eastAsia" w:ascii="宋体" w:hAnsi="宋体"/>
          <w:b/>
          <w:sz w:val="32"/>
        </w:rPr>
        <w:t>）</w:t>
      </w:r>
    </w:p>
    <w:p>
      <w:pPr>
        <w:spacing w:line="360" w:lineRule="auto"/>
        <w:ind w:right="-594" w:rightChars="-283"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1.学生在使用校园网的情况下登录学生个人信息系统网站，网址为：</w:t>
      </w:r>
      <w:r>
        <w:fldChar w:fldCharType="begin"/>
      </w:r>
      <w:r>
        <w:instrText xml:space="preserve"> HYPERLINK "http://210.27.176.185/" </w:instrText>
      </w:r>
      <w:r>
        <w:fldChar w:fldCharType="separate"/>
      </w:r>
      <w:r>
        <w:rPr>
          <w:rStyle w:val="3"/>
          <w:rFonts w:ascii="仿宋" w:hAnsi="仿宋" w:eastAsia="仿宋"/>
          <w:color w:val="FF0000"/>
          <w:sz w:val="32"/>
          <w:szCs w:val="32"/>
        </w:rPr>
        <w:t>http://210.27.17</w:t>
      </w:r>
      <w:bookmarkStart w:id="0" w:name="_Hlt18397671"/>
      <w:bookmarkStart w:id="1" w:name="_Hlt18397672"/>
      <w:r>
        <w:rPr>
          <w:rStyle w:val="3"/>
          <w:rFonts w:ascii="仿宋" w:hAnsi="仿宋" w:eastAsia="仿宋"/>
          <w:color w:val="FF0000"/>
          <w:sz w:val="32"/>
          <w:szCs w:val="32"/>
        </w:rPr>
        <w:t>6</w:t>
      </w:r>
      <w:bookmarkEnd w:id="0"/>
      <w:bookmarkEnd w:id="1"/>
      <w:r>
        <w:rPr>
          <w:rStyle w:val="3"/>
          <w:rFonts w:ascii="仿宋" w:hAnsi="仿宋" w:eastAsia="仿宋"/>
          <w:color w:val="FF0000"/>
          <w:sz w:val="32"/>
          <w:szCs w:val="32"/>
        </w:rPr>
        <w:t>.185/</w:t>
      </w:r>
      <w:r>
        <w:rPr>
          <w:rStyle w:val="3"/>
          <w:rFonts w:ascii="仿宋" w:hAnsi="仿宋" w:eastAsia="仿宋"/>
          <w:color w:val="FF0000"/>
          <w:sz w:val="32"/>
          <w:szCs w:val="32"/>
        </w:rPr>
        <w:fldChar w:fldCharType="end"/>
      </w:r>
    </w:p>
    <w:p>
      <w:pPr>
        <w:pStyle w:val="5"/>
        <w:ind w:left="420" w:firstLine="0" w:firstLineChars="0"/>
        <w:rPr>
          <w:rFonts w:ascii="宋体" w:hAnsi="宋体"/>
          <w:sz w:val="28"/>
          <w:szCs w:val="28"/>
        </w:rPr>
      </w:pPr>
      <w:bookmarkStart w:id="2" w:name="_GoBack"/>
      <w:r>
        <w:rPr>
          <w:rFonts w:hint="eastAsia" w:ascii="宋体" w:hAnsi="宋体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1580515</wp:posOffset>
            </wp:positionH>
            <wp:positionV relativeFrom="paragraph">
              <wp:posOffset>91440</wp:posOffset>
            </wp:positionV>
            <wp:extent cx="2876550" cy="2073910"/>
            <wp:effectExtent l="0" t="0" r="0" b="2540"/>
            <wp:wrapSquare wrapText="bothSides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564" t="9479" r="5740" b="7841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07391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2"/>
    </w:p>
    <w:p>
      <w:pPr>
        <w:pStyle w:val="5"/>
        <w:ind w:left="420" w:firstLine="0" w:firstLineChars="0"/>
        <w:rPr>
          <w:rFonts w:ascii="宋体" w:hAnsi="宋体"/>
          <w:sz w:val="28"/>
          <w:szCs w:val="28"/>
        </w:rPr>
      </w:pPr>
    </w:p>
    <w:p>
      <w:pPr>
        <w:pStyle w:val="5"/>
        <w:ind w:left="420" w:firstLine="0" w:firstLineChars="0"/>
        <w:rPr>
          <w:rFonts w:ascii="宋体" w:hAnsi="宋体"/>
          <w:sz w:val="28"/>
          <w:szCs w:val="28"/>
        </w:rPr>
      </w:pPr>
    </w:p>
    <w:p>
      <w:pPr>
        <w:pStyle w:val="5"/>
        <w:ind w:left="420" w:firstLine="0" w:firstLineChars="0"/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2.登陆成功后点击首页的本学期课表</w:t>
      </w:r>
    </w:p>
    <w:p>
      <w:pPr>
        <w:pStyle w:val="5"/>
        <w:ind w:left="420" w:firstLine="0" w:firstLineChars="0"/>
        <w:jc w:val="center"/>
        <w:rPr>
          <w:rFonts w:ascii="宋体" w:hAnsi="宋体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3937000" cy="1895475"/>
            <wp:effectExtent l="0" t="0" r="6350" b="952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8620" cy="189674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350" w:firstLine="320" w:firstLineChars="1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3.点击左侧的选课方案</w:t>
      </w:r>
    </w:p>
    <w:p>
      <w:pPr>
        <w:pStyle w:val="5"/>
        <w:ind w:left="420" w:firstLine="0" w:firstLineChars="0"/>
        <w:jc w:val="center"/>
        <w:rPr>
          <w:rFonts w:ascii="宋体" w:hAnsi="宋体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1200150" cy="1997075"/>
            <wp:effectExtent l="0" t="0" r="0" b="317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6956"/>
                    <a:stretch>
                      <a:fillRect/>
                    </a:stretch>
                  </pic:blipFill>
                  <pic:spPr>
                    <a:xfrm>
                      <a:off x="0" y="0"/>
                      <a:ext cx="1201748" cy="2000357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4.点击“校任选课”或“方案课程”，会出现相关选课课程，进行选择；如果是重修选课，则需要点击重修课程，输入课程号或课序号，进行选择，</w:t>
      </w:r>
      <w:r>
        <w:rPr>
          <w:rFonts w:hint="eastAsia" w:ascii="仿宋" w:hAnsi="仿宋" w:eastAsia="仿宋"/>
          <w:color w:val="FF0000"/>
          <w:sz w:val="32"/>
          <w:szCs w:val="32"/>
        </w:rPr>
        <w:t>并“确定”即可。</w:t>
      </w:r>
    </w:p>
    <w:p>
      <w:pPr>
        <w:spacing w:line="276" w:lineRule="auto"/>
        <w:ind w:left="-426" w:leftChars="-203" w:right="-594" w:rightChars="-283" w:firstLine="735" w:firstLineChars="350"/>
        <w:rPr>
          <w:rFonts w:ascii="宋体" w:hAnsi="宋体"/>
        </w:rPr>
      </w:pPr>
      <w:r>
        <w:rPr>
          <w:rFonts w:hint="eastAsia" w:ascii="宋体" w:hAnsi="宋体"/>
        </w:rPr>
        <w:drawing>
          <wp:inline distT="0" distB="0" distL="0" distR="0">
            <wp:extent cx="5274945" cy="2641600"/>
            <wp:effectExtent l="0" t="0" r="1905" b="635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64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460" w:lineRule="exact"/>
        <w:jc w:val="left"/>
        <w:rPr>
          <w:rFonts w:ascii="仿宋" w:hAnsi="仿宋" w:eastAsia="仿宋"/>
          <w:b/>
          <w:sz w:val="28"/>
          <w:szCs w:val="32"/>
        </w:rPr>
      </w:pPr>
    </w:p>
    <w:p>
      <w:pPr>
        <w:spacing w:line="460" w:lineRule="exact"/>
        <w:jc w:val="left"/>
        <w:rPr>
          <w:rFonts w:ascii="仿宋" w:hAnsi="仿宋" w:eastAsia="仿宋"/>
          <w:b/>
          <w:sz w:val="28"/>
          <w:szCs w:val="32"/>
        </w:rPr>
      </w:pPr>
    </w:p>
    <w:p>
      <w:pPr>
        <w:spacing w:line="460" w:lineRule="exact"/>
        <w:jc w:val="left"/>
        <w:rPr>
          <w:rFonts w:ascii="仿宋" w:hAnsi="仿宋" w:eastAsia="仿宋"/>
          <w:b/>
          <w:sz w:val="28"/>
          <w:szCs w:val="32"/>
        </w:rPr>
      </w:pPr>
    </w:p>
    <w:p>
      <w:pPr>
        <w:spacing w:line="460" w:lineRule="exact"/>
        <w:jc w:val="left"/>
        <w:rPr>
          <w:rFonts w:ascii="仿宋" w:hAnsi="仿宋" w:eastAsia="仿宋"/>
          <w:b/>
          <w:sz w:val="28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840A8"/>
    <w:rsid w:val="1C8840A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2019-12-27T00:59:00Z</dcterms:created>
  <dc:creator>二胡的弦</dc:creator>
  <cp:lastModifiedBy>二胡的弦</cp:lastModifiedBy>
  <dcterms:modified xsi:type="dcterms:W3CDTF">2019-12-27T01:00:46Z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