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adjustRightInd/>
        <w:snapToGrid/>
        <w:spacing w:after="0"/>
        <w:jc w:val="center"/>
        <w:rPr>
          <w:rFonts w:ascii="宋体" w:hAnsi="宋体" w:eastAsia="宋体" w:cs="宋体"/>
          <w:color w:val="333333"/>
          <w:sz w:val="24"/>
          <w:szCs w:val="24"/>
        </w:rPr>
      </w:pPr>
      <w:r>
        <w:rPr>
          <w:rFonts w:hint="eastAsia" w:ascii="宋体" w:hAnsi="宋体" w:eastAsia="宋体" w:cs="宋体"/>
          <w:b/>
          <w:bCs/>
          <w:color w:val="333333"/>
          <w:sz w:val="36"/>
          <w:szCs w:val="36"/>
        </w:rPr>
        <w:t>国务院关于印发</w:t>
      </w:r>
    </w:p>
    <w:p>
      <w:pPr>
        <w:shd w:val="clear" w:color="auto" w:fill="FFFFFF"/>
        <w:adjustRightInd/>
        <w:snapToGrid/>
        <w:spacing w:after="0"/>
        <w:jc w:val="center"/>
        <w:rPr>
          <w:rFonts w:hint="eastAsia" w:ascii="宋体" w:hAnsi="宋体" w:eastAsia="宋体" w:cs="宋体"/>
          <w:color w:val="333333"/>
          <w:sz w:val="24"/>
          <w:szCs w:val="24"/>
        </w:rPr>
      </w:pPr>
      <w:r>
        <w:rPr>
          <w:rFonts w:hint="eastAsia" w:ascii="宋体" w:hAnsi="宋体" w:eastAsia="宋体" w:cs="宋体"/>
          <w:b/>
          <w:bCs/>
          <w:color w:val="333333"/>
          <w:sz w:val="36"/>
          <w:szCs w:val="36"/>
        </w:rPr>
        <w:t>新一代人工智能发展规划的通知</w:t>
      </w:r>
      <w:r>
        <w:rPr>
          <w:rFonts w:hint="eastAsia" w:ascii="宋体" w:hAnsi="宋体" w:eastAsia="宋体" w:cs="宋体"/>
          <w:color w:val="333333"/>
          <w:sz w:val="24"/>
          <w:szCs w:val="24"/>
        </w:rPr>
        <w:br w:type="textWrapping"/>
      </w:r>
      <w:r>
        <w:rPr>
          <w:rFonts w:hint="eastAsia" w:ascii="楷体" w:hAnsi="楷体" w:eastAsia="楷体" w:cs="宋体"/>
          <w:color w:val="333333"/>
          <w:sz w:val="24"/>
          <w:szCs w:val="24"/>
        </w:rPr>
        <w:t>国发〔2017〕35号</w:t>
      </w:r>
    </w:p>
    <w:p>
      <w:pPr>
        <w:shd w:val="clear" w:color="auto" w:fill="FFFFFF"/>
        <w:adjustRightInd/>
        <w:snapToGrid/>
        <w:spacing w:after="0"/>
        <w:jc w:val="both"/>
        <w:rPr>
          <w:rFonts w:hint="eastAsia" w:ascii="宋体" w:hAnsi="宋体" w:eastAsia="宋体" w:cs="宋体"/>
          <w:color w:val="333333"/>
          <w:sz w:val="24"/>
          <w:szCs w:val="24"/>
        </w:rPr>
      </w:pPr>
    </w:p>
    <w:p>
      <w:pPr>
        <w:shd w:val="clear" w:color="auto" w:fill="FFFFFF"/>
        <w:adjustRightInd/>
        <w:snapToGrid/>
        <w:spacing w:after="0"/>
        <w:jc w:val="both"/>
        <w:rPr>
          <w:rFonts w:hint="eastAsia" w:ascii="宋体" w:hAnsi="宋体" w:eastAsia="宋体" w:cs="宋体"/>
          <w:color w:val="333333"/>
          <w:sz w:val="24"/>
          <w:szCs w:val="24"/>
        </w:rPr>
      </w:pPr>
      <w:r>
        <w:rPr>
          <w:rFonts w:hint="eastAsia" w:ascii="宋体" w:hAnsi="宋体" w:eastAsia="宋体" w:cs="宋体"/>
          <w:color w:val="333333"/>
          <w:sz w:val="24"/>
          <w:szCs w:val="24"/>
        </w:rPr>
        <w:t>各省、自治区、直辖市人民政府，国务院各部委、各直属机构：</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现将《新一代人工智能发展规划》印发给你们，请认真贯彻执行。</w:t>
      </w:r>
    </w:p>
    <w:p>
      <w:pPr>
        <w:shd w:val="clear" w:color="auto" w:fill="FFFFFF"/>
        <w:adjustRightInd/>
        <w:snapToGrid/>
        <w:spacing w:after="0"/>
        <w:ind w:right="480"/>
        <w:jc w:val="right"/>
        <w:rPr>
          <w:rFonts w:hint="eastAsia" w:ascii="宋体" w:hAnsi="宋体" w:eastAsia="宋体" w:cs="宋体"/>
          <w:color w:val="333333"/>
          <w:sz w:val="24"/>
          <w:szCs w:val="24"/>
        </w:rPr>
      </w:pPr>
      <w:r>
        <w:rPr>
          <w:rFonts w:hint="eastAsia" w:ascii="宋体" w:hAnsi="宋体" w:eastAsia="宋体" w:cs="宋体"/>
          <w:color w:val="333333"/>
          <w:sz w:val="24"/>
          <w:szCs w:val="24"/>
        </w:rPr>
        <w:t>国务院</w:t>
      </w:r>
    </w:p>
    <w:p>
      <w:pPr>
        <w:shd w:val="clear" w:color="auto" w:fill="FFFFFF"/>
        <w:adjustRightInd/>
        <w:snapToGrid/>
        <w:spacing w:after="0"/>
        <w:jc w:val="right"/>
        <w:rPr>
          <w:rFonts w:hint="eastAsia" w:ascii="宋体" w:hAnsi="宋体" w:eastAsia="宋体" w:cs="宋体"/>
          <w:color w:val="333333"/>
          <w:sz w:val="24"/>
          <w:szCs w:val="24"/>
        </w:rPr>
      </w:pPr>
      <w:r>
        <w:rPr>
          <w:rFonts w:hint="eastAsia" w:ascii="宋体" w:hAnsi="宋体" w:eastAsia="宋体" w:cs="宋体"/>
          <w:color w:val="333333"/>
          <w:sz w:val="24"/>
          <w:szCs w:val="24"/>
        </w:rPr>
        <w:t>2017年7月8日</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（此件公开发布）</w:t>
      </w:r>
    </w:p>
    <w:p>
      <w:pPr>
        <w:shd w:val="clear" w:color="auto" w:fill="FFFFFF"/>
        <w:adjustRightInd/>
        <w:snapToGrid/>
        <w:spacing w:after="0"/>
        <w:ind w:firstLine="480"/>
        <w:jc w:val="both"/>
        <w:rPr>
          <w:rFonts w:hint="eastAsia" w:ascii="宋体" w:hAnsi="宋体" w:eastAsia="宋体" w:cs="宋体"/>
          <w:color w:val="333333"/>
          <w:sz w:val="24"/>
          <w:szCs w:val="24"/>
        </w:rPr>
      </w:pPr>
    </w:p>
    <w:p>
      <w:pPr>
        <w:shd w:val="clear" w:color="auto" w:fill="FFFFFF"/>
        <w:adjustRightInd/>
        <w:snapToGrid/>
        <w:spacing w:after="0"/>
        <w:ind w:firstLine="480"/>
        <w:jc w:val="both"/>
        <w:rPr>
          <w:rFonts w:hint="eastAsia" w:ascii="宋体" w:hAnsi="宋体" w:eastAsia="宋体" w:cs="宋体"/>
          <w:color w:val="333333"/>
          <w:sz w:val="24"/>
          <w:szCs w:val="24"/>
        </w:rPr>
      </w:pPr>
    </w:p>
    <w:p>
      <w:pPr>
        <w:shd w:val="clear" w:color="auto" w:fill="FFFFFF"/>
        <w:adjustRightInd/>
        <w:snapToGrid/>
        <w:spacing w:after="0"/>
        <w:jc w:val="center"/>
        <w:rPr>
          <w:rFonts w:hint="eastAsia" w:ascii="宋体" w:hAnsi="宋体" w:eastAsia="宋体" w:cs="宋体"/>
          <w:color w:val="333333"/>
          <w:sz w:val="24"/>
          <w:szCs w:val="24"/>
        </w:rPr>
      </w:pPr>
      <w:r>
        <w:rPr>
          <w:rFonts w:hint="eastAsia" w:ascii="宋体" w:hAnsi="宋体" w:eastAsia="宋体" w:cs="宋体"/>
          <w:b/>
          <w:bCs/>
          <w:color w:val="333333"/>
          <w:sz w:val="36"/>
          <w:szCs w:val="36"/>
        </w:rPr>
        <w:t>新一代人工智能发展规划</w:t>
      </w:r>
    </w:p>
    <w:p>
      <w:pPr>
        <w:shd w:val="clear" w:color="auto" w:fill="FFFFFF"/>
        <w:adjustRightInd/>
        <w:snapToGrid/>
        <w:spacing w:after="0"/>
        <w:ind w:firstLine="480"/>
        <w:jc w:val="both"/>
        <w:rPr>
          <w:rFonts w:hint="eastAsia" w:ascii="宋体" w:hAnsi="宋体" w:eastAsia="宋体" w:cs="宋体"/>
          <w:color w:val="333333"/>
          <w:sz w:val="24"/>
          <w:szCs w:val="24"/>
        </w:rPr>
      </w:pP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人工智能的迅速发展将深刻改变人类社会生活、改变世界。为抢抓人工智能发展的重大战略机遇，构筑我国人工智能发展的先发优势，加快建设创新型国家和世界科技强国，按照党中央、国务院部署要求，制定本规划。</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b/>
          <w:bCs/>
          <w:color w:val="333333"/>
          <w:sz w:val="24"/>
          <w:szCs w:val="24"/>
        </w:rPr>
        <w:t>一、战略态势</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人工智能发展进入新阶段。经过60多年的演进，特别是在移动互联网、大数据、超级计算、传感网、脑科学等新理论新技术以及经济社会发展强烈需求的共同驱动下，人工智能加速发展，呈现出深度学习、跨界融合、人机协同、群智开放、自主操控等新特征。大数据驱动知识学习、跨媒体协同处理、人机协同增强智能、群体集成智能、自主智能系统成为人工智能的发展重点，受脑科学研究成果启发的类脑智能蓄势待发，芯片化硬件化平台化趋势更加明显，人工智能发展进入新阶段。当前，新一代人工智能相关学科发展、理论建模、技术创新、软硬件升级等整体推进，正在引发链式突破，推动经济社会各领域从数字化、网络化向智能化加速跃升。</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人工智能成为国际竞争的新焦点。人工智能是引领未来的战略性技术，世界主要发达国家把发展人工智能作为提升国家竞争力、维护国家安全的重大战略，加紧出台规划和政策，围绕核心技术、顶尖人才、标准规范等强化部署，力图在新一轮国际科技竞争中掌握主导权。当前，我国国家安全和国际竞争形势更加复杂，必须放眼全球，把人工智能发展放在国家战略层面系统布局、主动谋划，牢牢把握人工智能发展新阶段国际竞争的战略主动，打造竞争新优势、开拓发展新空间，有效保障国家安全。</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人工智能成为经济发展的新引擎。人工智能作为新一轮产业变革的核心驱动力，将进一步释放历次科技革命和产业变革积蓄的巨大能量，并创造新的强大引擎，重构生产、分配、交换、消费等经济活动各环节，形成从宏观到微观各领域的智能化新需求，催生新技术、新产品、新产业、新业态、新模式，引发经济结构重大变革，深刻改变人类生产生活方式和思维模式，实现社会生产力的整体跃升。我国经济发展进入新常态，深化供给侧结构性改革任务非常艰巨，必须加快人工智能深度应用，培育壮大人工智能产业，为我国经济发展注入新动能。</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人工智能带来社会建设的新机遇。我国正处于全面建成小康社会的决胜阶段，人口老龄化、资源环境约束等挑战依然严峻，人工智能在教育、医疗、养老、环境保护、城市运行、司法服务等领域广泛应用，将极大提高公共服务精准化水平，全面提升人民生活品质。人工智能技术可准确感知、预测、预警基础设施和社会安全运行的重大态势，及时把握群体认知及心理变化，主动决策反应，将显著提高社会治理的能力和水平，对有效维护社会稳定具有不可替代的作用。</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人工智能发展的不确定性带来新挑战。人工智能是影响面广的颠覆性技术，可能带来改变就业结构、冲击法律与社会伦理、侵犯个人隐私、挑战国际关系准则等问题，将对政府管理、经济安全和社会稳定乃至全球治理产生深远影响。在大力发展人工智能的同时，必须高度重视可能带来的安全风险挑战，加强前瞻预防与约束引导，最大限度降低风险，确保人工智能安全、可靠、可控发展。</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我国发展人工智能具有良好基础。国家部署了智能制造等国家重点研发计划重点专项，印发实施了“互联网+”人工智能三年行动实施方案，从科技研发、应用推广和产业发展等方面提出了一系列措施。经过多年的持续积累，我国在人工智能领域取得重要进展，国际科技论文发表量和发明专利授权量已居世界第二，部分领域核心关键技术实现重要突破。语音识别、视觉识别技术世界领先，自适应自主学习、直觉感知、综合推理、混合智能和群体智能等初步具备跨越发展的能力，中文信息处理、智能监控、生物特征识别、工业机器人、服务机器人、无人驾驶逐步进入实际应用，人工智能创新创业日益活跃，一批龙头骨干企业加速成长，在国际上获得广泛关注和认可。加速积累的技术能力与海量的数据资源、巨大的应用需求、开放的市场环境有机结合，形成了我国人工智能发展的独特优势。</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同时，也要清醒地看到，我国人工智能整体发展水平与发达国家相比仍存在差距，缺少重大原创成果，在基础理论、核心算法以及关键设备、高端芯片、重大产品与系统、基础材料、元器件、软件与接口等方面差距较大；科研机构和企业尚未形成具有国际影响力的生态圈和产业链，缺乏系统的超前研发布局；人工智能尖端人才远远不能满足需求；适应人工智能发展的基础设施、政策法规、标准体系亟待完善。</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面对新形势新需求，必须主动求变应变，牢牢把握人工智能发展的重大历史机遇，紧扣发展、研判大势、主动谋划、把握方向、抢占先机，引领世界人工智能发展新潮流，服务经济社会发展和支撑国家安全，带动国家竞争力整体跃升和跨越式发展。</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b/>
          <w:bCs/>
          <w:color w:val="333333"/>
          <w:sz w:val="24"/>
          <w:szCs w:val="24"/>
        </w:rPr>
        <w:t>二、总体要求</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（一）指导思想。</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全面贯彻党的十八大和十八届三中、四中、五中、六中全会精神，深入学习贯彻习近平总书记系列重要讲话精神和治国理政新理念新思想新战略，按照“五位一体”总体布局和“四个全面”战略布局，认真落实党中央、国务院决策部署，深入实施创新驱动发展战略，以加快人工智能与经济、社会、国防深度融合为主线，以提升新一代人工智能科技创新能力为主攻方向，发展智能经济，建设智能社会，维护国家安全，构筑知识群、技术群、产业群互动融合和人才、制度、文化相互支撑的生态系统，前瞻应对风险挑战，推动以人类可持续发展为中心的智能化，全面提升社会生产力、综合国力和国家竞争力，为加快建设创新型国家和世界科技强国、实现“两个一百年”奋斗目标和中华民族伟大复兴中国梦提供强大支撑。</w:t>
      </w:r>
    </w:p>
    <w:p>
      <w:pPr>
        <w:shd w:val="clear" w:color="auto" w:fill="FFFFFF"/>
        <w:adjustRightInd/>
        <w:snapToGrid/>
        <w:spacing w:after="0"/>
        <w:ind w:firstLine="480"/>
        <w:jc w:val="both"/>
        <w:rPr>
          <w:rFonts w:hint="eastAsia" w:ascii="楷体" w:hAnsi="楷体" w:eastAsia="楷体" w:cs="宋体"/>
          <w:color w:val="333333"/>
          <w:sz w:val="24"/>
          <w:szCs w:val="24"/>
        </w:rPr>
      </w:pPr>
    </w:p>
    <w:p>
      <w:pPr>
        <w:shd w:val="clear" w:color="auto" w:fill="FFFFFF"/>
        <w:adjustRightInd/>
        <w:snapToGrid/>
        <w:spacing w:after="0"/>
        <w:ind w:firstLine="480"/>
        <w:jc w:val="both"/>
        <w:rPr>
          <w:rFonts w:hint="eastAsia" w:ascii="宋体" w:hAnsi="宋体" w:eastAsia="宋体" w:cs="宋体"/>
          <w:color w:val="333333"/>
          <w:sz w:val="24"/>
          <w:szCs w:val="24"/>
        </w:rPr>
      </w:pPr>
      <w:bookmarkStart w:id="0" w:name="_GoBack"/>
      <w:bookmarkEnd w:id="0"/>
      <w:r>
        <w:rPr>
          <w:rFonts w:hint="eastAsia" w:ascii="楷体" w:hAnsi="楷体" w:eastAsia="楷体" w:cs="宋体"/>
          <w:color w:val="333333"/>
          <w:sz w:val="24"/>
          <w:szCs w:val="24"/>
        </w:rPr>
        <w:t>（二）基本原则。</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科技引领。把握世界人工智能发展趋势，突出研发部署前瞻性，在重点前沿领域探索布局、长期支持，力争在理论、方法、工具、系统等方面取得变革性、颠覆性突破，全面增强人工智能原始创新能力，加速构筑先发优势，实现高端引领发展。</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系统布局。根据基础研究、技术研发、产业发展和行业应用的不同特点，制定有针对性的系统发展策略。充分发挥社会主义制度集中力量办大事的优势，推进项目、基地、人才统筹布局，已部署的重大项目与新任务有机衔接，当前急需与长远发展梯次接续，创新能力建设、体制机制改革和政策环境营造协同发力。</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市场主导。遵循市场规律，坚持应用导向，突出企业在技术路线选择和行业产品标准制定中的主体作用，加快人工智能科技成果商业化应用，形成竞争优势。把握好政府和市场分工，更好发挥政府在规划引导、政策支持、安全防范、市场监管、环境营造、伦理法规制定等方面的重要作用。</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开源开放。倡导开源共享理念，促进产学研用各创新主体共创共享。遵循经济建设和国防建设协调发展规律，促进军民科技成果双向转化应用、军民创新资源共建共享，形成全要素、多领域、高效益的军民深度融合发展新格局。积极参与人工智能全球研发和治理，在全球范围内优化配置创新资源。</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（三）战略目标。</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分三步走：</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第一步，到2020年人工智能总体技术和应用与世界先进水平同步，人工智能产业成为新的重要经济增长点，人工智能技术应用成为改善民生的新途径，有力支撑进入创新型国家行列和实现全面建成小康社会的奋斗目标。</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新一代人工智能理论和技术取得重要进展。大数据智能、跨媒体智能、群体智能、混合增强智能、自主智能系统等基础理论和核心技术实现重要进展，人工智能模型方法、核心器件、高端设备和基础软件等方面取得标志性成果。</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——人工智能产业竞争力进入国际第一方阵。初步建成人工智能技术标准、服务体系和产业生态链，培育若干全球领先的人工智能骨干企业，人工智能核心产业规模超过1500亿元，带动相关产业规模超过1万亿元。</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——人工智能发展环境进一步优化，在重点领域全面展开创新应用，聚集起一批高水平的人才队伍和创新团队，部分领域的人工智能伦理规范和政策法规初步建立。</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第二步，到2025年人工智能基础理论实现重大突破，部分技术与应用达到世界领先水平，人工智能成为带动我国产业升级和经济转型的主要动力，智能社会建设取得积极进展。</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——新一代人工智能理论与技术体系初步建立，具有自主学习能力的人工智能取得突破，在多领域取得引领性研究成果。</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——人工智能产业进入全球价值链高端。新一代人工智能在智能制造、智能医疗、智慧城市、智能农业、国防建设等领域得到广泛应用，人工智能核心产业规模超过4000亿元，带动相关产业规模超过5万亿元。</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——初步建立人工智能法律法规、伦理规范和政策体系，形成人工智能安全评估和管控能力。</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第三步，到2030年人工智能理论、技术与应用总体达到世界领先水平，成为世界主要人工智能创新中心，智能经济、智能社会取得明显成效，为跻身创新型国家前列和经济强国奠定重要基础。</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——形成较为成熟的新一代人工智能理论与技术体系。在类脑智能、自主智能、混合智能和群体智能等领域取得重大突破，在国际人工智能研究领域具有重要影响，占据人工智能科技制高点。</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人工智能产业竞争力达到国际领先水平。人工智能在生产生活、社会治理、国防建设各方面应用的广度深度极大拓展，形成涵盖核心技术、关键系统、支撑平台和智能应用的完备产业链和高端产业群，人工智能核心产业规模超过1万亿元，带动相关产业规模超过10万亿元。</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——形成一批全球领先的人工智能科技创新和人才培养基地，建成更加完善的人工智能法律法规、伦理规范和政策体系。</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（四）总体部署。</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发展人工智能是一项事关全局的复杂系统工程，要按照“构建一个体系、把握双重属性、坚持三位一体、强化四大支撑”进行布局，形成人工智能健康持续发展的战略路径。</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构建开放协同的人工智能科技创新体系。针对原创性理论基础薄弱、重大产品和系统缺失等重点难点问题，建立新一代人工智能基础理论和关键共性技术体系，布局建设重大科技创新基地，壮大人工智能高端人才队伍，促进创新主体协同互动，形成人工智能持续创新能力。</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把握人工智能技术属性和社会属性高度融合的特征。既要加大人工智能研发和应用力度，最大程度发挥人工智能潜力；又要预判人工智能的挑战，协调产业政策、创新政策与社会政策，实现激励发展与合理规制的协调，最大限度防范风险。</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坚持人工智能研发攻关、产品应用和产业培育“三位一体”推进。适应人工智能发展特点和趋势，强化创新链和产业链深度融合、技术供给和市场需求互动演进，以技术突破推动领域应用和产业升级，以应用示范推动技术和系统优化。在当前大规模推动技术应用和产业发展的同时，加强面向中长期的研发布局和攻关，实现滚动发展和持续提升，确保理论上走在前面、技术上占领制高点、应用上安全可控。</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全面支撑科技、经济、社会发展和国家安全。以人工智能技术突破带动国家创新能力全面提升，引领建设世界科技强国进程；通过壮大智能产业、培育智能经济，为我国未来十几年乃至几十年经济繁荣创造一个新的增长周期；以建设智能社会促进民生福祉改善，落实以人民为中心的发展思想；以人工智能提升国防实力，保障和维护国家安全。</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b/>
          <w:bCs/>
          <w:color w:val="333333"/>
          <w:sz w:val="24"/>
          <w:szCs w:val="24"/>
        </w:rPr>
        <w:t>三、重点任务</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立足国家发展全局，准确把握全球人工智能发展态势，找准突破口和主攻方向，全面增强科技创新基础能力，全面拓展重点领域应用深度广度，全面提升经济社会发展和国防应用智能化水平。</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（一）构建开放协同的人工智能科技创新体系。</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围绕增加人工智能创新的源头供给，从前沿基础理论、关键共性技术、基础平台、人才队伍等方面强化部署，促进开源共享，系统提升持续创新能力，确保我国人工智能科技水平跻身世界前列，为世界人工智能发展作出更多贡献。</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1.建立新一代人工智能基础理论体系。</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聚焦人工智能重大科学前沿问题，兼顾当前需求与长远发展，以突破人工智能应用基础理论瓶颈为重点，超前布局可能引发人工智能范式变革的基础研究，促进学科交叉融合，为人工智能持续发展与深度应用提供强大科学储备。</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突破应用基础理论瓶颈。瞄准应用目标明确、有望引领人工智能技术升级的基础理论方向，加强大数据智能、跨媒体感知计算、人机混合智能、群体智能、自主协同与决策等基础理论研究。大数据智能理论重点突破无监督学习、综合深度推理等难点问题，建立数据驱动、以自然语言理解为核心的认知计算模型，形成从大数据到知识、从知识到决策的能力。跨媒体感知计算理论重点突破低成本低能耗智能感知、复杂场景主动感知、自然环境听觉与言语感知、多媒体自主学习等理论方法，实现超人感知和高动态、高维度、多模式分布式大场景感知。混合增强智能理论重点突破人机协同共融的情境理解与决策学习、直觉推理与因果模型、记忆与知识演化等理论，实现学习与思考接近或超过人类智能水平的混合增强智能。群体智能理论重点突破群体智能的组织、涌现、学习的理论与方法，建立可表达、可计算的群智激励算法和模型，形成基于互联网的群体智能理论体系。自主协同控制与优化决策理论重点突破面向自主无人系统的协同感知与交互、自主协同控制与优化决策、知识驱动的人机物三元协同与互操作等理论，形成自主智能无人系统创新性理论体系架构。</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布局前沿基础理论研究。针对可能引发人工智能范式变革的方向，前瞻布局高级机器学习、类脑智能计算、量子智能计算等跨领域基础理论研究。高级机器学习理论重点突破自适应学习、自主学习等理论方法，实现具备高可解释性、强泛化能力的人工智能。类脑智能计算理论重点突破类脑的信息编码、处理、记忆、学习与推理理论，形成类脑复杂系统及类脑控制等理论与方法，建立大规模类脑智能计算的新模型和脑启发的认知计算模型。量子智能计算理论重点突破量子加速的机器学习方法，建立高性能计算与量子算法混合模型，形成高效精确自主的量子人工智能系统架构。</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开展跨学科探索性研究。推动人工智能与神经科学、认知科学、量子科学、心理学、数学、经济学、社会学等相关基础学科的交叉融合，加强引领人工智能算法、模型发展的数学基础理论研究，重视人工智能法律伦理的基础理论问题研究，支持原创性强、非共识的探索性研究，鼓励科学家自由探索，勇于攻克人工智能前沿科学难题，提出更多原创理论，作出更多原创发现。</w:t>
      </w:r>
    </w:p>
    <w:p>
      <w:pPr>
        <w:shd w:val="clear" w:color="auto" w:fill="FFFFFF"/>
        <w:adjustRightInd/>
        <w:snapToGrid/>
        <w:spacing w:after="0"/>
        <w:ind w:firstLine="480"/>
        <w:jc w:val="both"/>
        <w:rPr>
          <w:rFonts w:hint="eastAsia" w:ascii="宋体" w:hAnsi="宋体" w:eastAsia="宋体" w:cs="宋体"/>
          <w:color w:val="333333"/>
          <w:sz w:val="24"/>
          <w:szCs w:val="24"/>
        </w:rPr>
      </w:pPr>
    </w:p>
    <w:tbl>
      <w:tblPr>
        <w:tblStyle w:val="3"/>
        <w:tblW w:w="9072" w:type="dxa"/>
        <w:jc w:val="center"/>
        <w:tblInd w:w="0" w:type="dxa"/>
        <w:tblLayout w:type="fixed"/>
        <w:tblCellMar>
          <w:top w:w="0" w:type="dxa"/>
          <w:left w:w="0" w:type="dxa"/>
          <w:bottom w:w="0" w:type="dxa"/>
          <w:right w:w="0" w:type="dxa"/>
        </w:tblCellMar>
      </w:tblPr>
      <w:tblGrid>
        <w:gridCol w:w="9072"/>
      </w:tblGrid>
      <w:tr>
        <w:tblPrEx>
          <w:tblLayout w:type="fixed"/>
        </w:tblPrEx>
        <w:trPr>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pPr>
              <w:adjustRightInd/>
              <w:snapToGrid/>
              <w:spacing w:after="0"/>
              <w:jc w:val="center"/>
              <w:rPr>
                <w:rFonts w:hint="eastAsia" w:ascii="Calibri" w:hAnsi="Calibri" w:eastAsia="宋体" w:cs="宋体"/>
                <w:sz w:val="21"/>
                <w:szCs w:val="21"/>
              </w:rPr>
            </w:pPr>
            <w:r>
              <w:rPr>
                <w:rFonts w:hint="eastAsia" w:ascii="宋体" w:hAnsi="宋体" w:eastAsia="宋体" w:cs="宋体"/>
                <w:b/>
                <w:bCs/>
                <w:color w:val="000000"/>
                <w:sz w:val="20"/>
                <w:szCs w:val="20"/>
              </w:rPr>
              <w:t>专栏1　基础理论</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1.大数据智能理论。研究数据驱动与知识引导相结合的人工智能新方法、以自然语言理解和图像图形为核心的认知计算理论和方法、综合深度推理与创意人工智能理论与方法、非完全信息下智能决策基础理论与框架、数据驱动的通用人工智能数学模型与理论等。</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2.跨媒体感知计算理论。研究超越人类视觉能力的感知获取、面向真实世界的主动视觉感知及计算、自然声学场景的听知觉感知及计算、自然交互环境的言语感知及计算、面向异步序列的类人感知及计算、面向媒体智能感知的自主学习、城市全维度智能感知推理引擎。</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3.混合增强智能理论。研究“人在回路”的混合增强智能、人机智能共生的行为增强与脑机协同、机器直觉推理与因果模型、联想记忆模型与知识演化方法、复杂数据和任务的混合增强智能学习方法、云机器人协同计算方法、真实世界环境下的情境理解及人机群组协同。</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4.群体智能理论。研究群体智能结构理论与组织方法、群体智能激励机制与涌现机理、群体智能学习理论与方法、群体智能通用计算范式与模型。</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5.自主协同控制与优化决策理论。研究面向自主无人系统的协同感知与交互，面向自主无人系统的协同控制与优化决策，知识驱动的人机物三元协同与互操作等理论。</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6.高级机器学习理论。研究统计学习基础理论、不确定性推理与决策、分布式学习与交互、隐私保护学习、小样本学习、深度强化学习、无监督学习、半监督学习、主动学习等学习理论和高效模型。</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7.类脑智能计算理论。研究类脑感知、类脑学习、类脑记忆机制与计算融合、类脑复杂系统、类脑控制等理论与方法。</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8.量子智能计算理论。探索脑认知的量子模式与内在机制，研究高效的量子智能模型和算法、高性能高比特的量子人工智能处理器、可与外界环境交互信息的实时量子人工智能系统等。</w:t>
            </w:r>
          </w:p>
        </w:tc>
      </w:tr>
    </w:tbl>
    <w:p>
      <w:pPr>
        <w:shd w:val="clear" w:color="auto" w:fill="FFFFFF"/>
        <w:adjustRightInd/>
        <w:snapToGrid/>
        <w:spacing w:after="0"/>
        <w:ind w:firstLine="480"/>
        <w:jc w:val="both"/>
        <w:rPr>
          <w:rFonts w:ascii="宋体" w:hAnsi="宋体" w:eastAsia="宋体" w:cs="宋体"/>
          <w:color w:val="333333"/>
          <w:sz w:val="24"/>
          <w:szCs w:val="24"/>
        </w:rPr>
      </w:pP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2.建立新一代人工智能关键共性技术体系。</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围绕提升我国人工智能国际竞争力的迫切需求，新一代人工智能关键共性技术的研发部署要以算法为核心，以数据和硬件为基础，以提升感知识别、知识计算、认知推理、运动执行、人机交互能力为重点，形成开放兼容、稳定成熟的技术体系。</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知识计算引擎与知识服务技术。重点突破知识加工、深度搜索和可视交互核心技术，实现对知识持续增量的自动获取，具备概念识别、实体发现、属性预测、知识演化建模和关系挖掘能力，形成涵盖数十亿实体规模的多源、多学科和多数据类型的跨媒体知识图谱。</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跨媒体分析推理技术。重点突破跨媒体统一表征、关联理解与知识挖掘、知识图谱构建与学习、知识演化与推理、智能描述与生成等技术，实现跨媒体知识表征、分析、挖掘、推理、演化和利用，构建分析推理引擎。</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群体智能关键技术。重点突破基于互联网的大众化协同、大规模协作的知识资源管理与开放式共享等技术，建立群智知识表示框架，实现基于群智感知的知识获取和开放动态环境下的群智融合与增强，支撑覆盖全国的千万级规模群体感知、协同与演化。</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混合增强智能新架构与新技术。重点突破人机协同的感知与执行一体化模型、智能计算前移的新型传感器件、通用混合计算架构等核心技术，构建自主适应环境的混合增强智能系统、人机群组混合增强智能系统及支撑环境。</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自主无人系统的智能技术。重点突破自主无人系统计算架构、复杂动态场景感知与理解、实时精准定位、面向复杂环境的适应性智能导航等共性技术，无人机自主控制以及汽车、船舶和轨道交通自动驾驶等智能技术，服务机器人、特种机器人等核心技术，支撑无人系统应用和产业发展。</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虚拟现实智能建模技术。重点突破虚拟对象智能行为建模技术，提升虚拟现实中智能对象行为的社会性、多样性和交互逼真性，实现虚拟现实、增强现实等技术与人工智能的有机结合和高效互动。</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计算芯片与系统。重点突破高能效、可重构类脑计算芯片和具有计算成像功能的类脑视觉传感器技术，研发具有自主学习能力的高效能类脑神经网络架构和硬件系统，实现具有多媒体感知信息理解和智能增长、常识推理能力的类脑智能系统。</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自然语言处理技术。重点突破自然语言的语法逻辑、字符概念表征和深度语义分析的核心技术，推进人类与机器的有效沟通和自由交互，实现多风格多语言多领域的自然语言智能理解和自动生成。</w:t>
      </w:r>
    </w:p>
    <w:p>
      <w:pPr>
        <w:shd w:val="clear" w:color="auto" w:fill="FFFFFF"/>
        <w:adjustRightInd/>
        <w:snapToGrid/>
        <w:spacing w:after="0"/>
        <w:ind w:firstLine="480"/>
        <w:jc w:val="both"/>
        <w:rPr>
          <w:rFonts w:hint="eastAsia" w:ascii="宋体" w:hAnsi="宋体" w:eastAsia="宋体" w:cs="宋体"/>
          <w:color w:val="333333"/>
          <w:sz w:val="24"/>
          <w:szCs w:val="24"/>
        </w:rPr>
      </w:pPr>
    </w:p>
    <w:tbl>
      <w:tblPr>
        <w:tblStyle w:val="3"/>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pPr>
              <w:adjustRightInd/>
              <w:snapToGrid/>
              <w:spacing w:after="0"/>
              <w:jc w:val="center"/>
              <w:rPr>
                <w:rFonts w:hint="eastAsia" w:ascii="Calibri" w:hAnsi="Calibri" w:eastAsia="宋体" w:cs="宋体"/>
                <w:sz w:val="21"/>
                <w:szCs w:val="21"/>
              </w:rPr>
            </w:pPr>
            <w:r>
              <w:rPr>
                <w:rFonts w:hint="eastAsia" w:ascii="宋体" w:hAnsi="宋体" w:eastAsia="宋体" w:cs="宋体"/>
                <w:b/>
                <w:bCs/>
                <w:color w:val="000000"/>
                <w:sz w:val="20"/>
                <w:szCs w:val="20"/>
              </w:rPr>
              <w:t>专栏</w:t>
            </w:r>
            <w:r>
              <w:rPr>
                <w:rFonts w:ascii="Calibri" w:hAnsi="Calibri" w:eastAsia="宋体" w:cs="宋体"/>
                <w:b/>
                <w:bCs/>
                <w:color w:val="000000"/>
                <w:sz w:val="20"/>
                <w:szCs w:val="20"/>
              </w:rPr>
              <w:t>2</w:t>
            </w:r>
            <w:r>
              <w:rPr>
                <w:rFonts w:hint="eastAsia" w:ascii="宋体" w:hAnsi="宋体" w:eastAsia="宋体" w:cs="宋体"/>
                <w:b/>
                <w:bCs/>
                <w:color w:val="000000"/>
                <w:sz w:val="20"/>
                <w:szCs w:val="20"/>
              </w:rPr>
              <w:t>　关键共性技术</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1.知识计算引擎与知识服务技术。研究知识计算和可视交互引擎，研究创新设计、数字创意和以可视媒体为核心的商业智能等知识服务技术，开展大规模生物数据的知识发现。</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2.跨媒体分析推理技术。研究跨媒体统一表征、关联理解与知识挖掘、知识图谱构建与学习、知识演化与推理、智能描述与生成等技术，开发跨媒体分析推理引擎与验证系统。</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3.群体智能关键技术。开展群体智能的主动感知与发现、知识获取与生成、协同与共享、评估与演化、人机整合与增强、自我维持与安全交互等关键技术研究，构建群智空间的服务体系结构，研究移动群体智能的协同决策与控制技术。</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4.混合增强智能新架构和新技术。研究混合增强智能核心技术、认知计算框架，新型混合计算架构，人机共驾、在线智能学习技术，平行管理与控制的混合增强智能框架。</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5.自主无人系统的智能技术。研究无人机自主控制和汽车、船舶、轨道交通自动驾驶等智能技术，服务机器人、空间机器人、海洋机器人、极地机器人技术，无人车间/智能工厂智能技术，高端智能控制技术和自主无人操作系统。研究复杂环境下基于计算机视觉的定位、导航、识别等机器人及机械手臂自主控制技术。</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6.虚拟现实智能建模技术。研究虚拟对象智能行为的数学表达与建模方法，虚拟对象与虚拟环境和用户之间进行自然、持续、深入交互等问题，智能对象建模的技术与方法体系。</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7.智能计算芯片与系统。研发神经网络处理器以及高能效、可重构类脑计算芯片等，新型感知芯片与系统、智能计算体系结构与系统，人工智能操作系统。研究适合人工智能的混合计算架构等。</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8.自然语言处理技术。研究短文本的计算与分析技术，跨语言文本挖掘技术和面向机器认知智能的语义理解技术，多媒体信息理解的人机对话系统。</w:t>
            </w:r>
          </w:p>
        </w:tc>
      </w:tr>
    </w:tbl>
    <w:p>
      <w:pPr>
        <w:shd w:val="clear" w:color="auto" w:fill="FFFFFF"/>
        <w:adjustRightInd/>
        <w:snapToGrid/>
        <w:spacing w:after="0"/>
        <w:ind w:firstLine="480"/>
        <w:jc w:val="both"/>
        <w:rPr>
          <w:rFonts w:ascii="宋体" w:hAnsi="宋体" w:eastAsia="宋体" w:cs="宋体"/>
          <w:color w:val="333333"/>
          <w:sz w:val="24"/>
          <w:szCs w:val="24"/>
        </w:rPr>
      </w:pP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3.统筹布局人工智能创新平台。</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建设布局人工智能创新平台，强化对人工智能研发应用的基础支撑。人工智能开源软硬件基础平台重点建设支持知识推理、概率统计、深度学习等人工智能范式的统一计算框架平台，形成促进人工智能软件、硬件和智能云之间相互协同的生态链。群体智能服务平台重点建设基于互联网大规模协作的知识资源管理与开放式共享工具，形成面向产学研用创新环节的群智众创平台和服务环境。混合增强智能支撑平台重点建设支持大规模训练的异构实时计算引擎和新型计算集群，为复杂智能计算提供服务化、系统化平台和解决方案。自主无人系统支撑平台重点建设面向自主无人系统复杂环境下环境感知、自主协同控制、智能决策等人工智能共性核心技术的支撑系统，形成开放式、模块化、可重构的自主无人系统开发与试验环境。人工智能基础数据与安全检测平台重点建设面向人工智能的公共数据资源库、标准测试数据集、云服务平台等，形成人工智能算法与平台安全性测试评估的方法、技术、规范和工具集。促进各类通用软件和技术平台的开源开放。各类平台要按照军民深度融合的要求和相关规定，推进军民共享共用。</w:t>
      </w:r>
    </w:p>
    <w:p>
      <w:pPr>
        <w:shd w:val="clear" w:color="auto" w:fill="FFFFFF"/>
        <w:adjustRightInd/>
        <w:snapToGrid/>
        <w:spacing w:after="0"/>
        <w:ind w:firstLine="480"/>
        <w:jc w:val="both"/>
        <w:rPr>
          <w:rFonts w:ascii="宋体" w:hAnsi="宋体" w:eastAsia="宋体" w:cs="宋体"/>
          <w:color w:val="333333"/>
          <w:sz w:val="24"/>
          <w:szCs w:val="24"/>
        </w:rPr>
      </w:pPr>
    </w:p>
    <w:p>
      <w:pPr>
        <w:shd w:val="clear" w:color="auto" w:fill="FFFFFF"/>
        <w:adjustRightInd/>
        <w:snapToGrid/>
        <w:spacing w:after="0"/>
        <w:ind w:firstLine="480"/>
        <w:jc w:val="both"/>
        <w:rPr>
          <w:rFonts w:hint="eastAsia" w:ascii="宋体" w:hAnsi="宋体" w:eastAsia="宋体" w:cs="宋体"/>
          <w:color w:val="333333"/>
          <w:sz w:val="24"/>
          <w:szCs w:val="24"/>
        </w:rPr>
      </w:pPr>
    </w:p>
    <w:tbl>
      <w:tblPr>
        <w:tblStyle w:val="3"/>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pPr>
              <w:adjustRightInd/>
              <w:snapToGrid/>
              <w:spacing w:after="0"/>
              <w:jc w:val="center"/>
              <w:rPr>
                <w:rFonts w:hint="eastAsia" w:ascii="Calibri" w:hAnsi="Calibri" w:eastAsia="宋体" w:cs="宋体"/>
                <w:sz w:val="21"/>
                <w:szCs w:val="21"/>
              </w:rPr>
            </w:pPr>
            <w:r>
              <w:rPr>
                <w:rFonts w:hint="eastAsia" w:ascii="宋体" w:hAnsi="宋体" w:eastAsia="宋体" w:cs="宋体"/>
                <w:b/>
                <w:bCs/>
                <w:color w:val="000000"/>
                <w:sz w:val="20"/>
                <w:szCs w:val="20"/>
              </w:rPr>
              <w:t>专栏</w:t>
            </w:r>
            <w:r>
              <w:rPr>
                <w:rFonts w:ascii="Calibri" w:hAnsi="Calibri" w:eastAsia="宋体" w:cs="宋体"/>
                <w:b/>
                <w:bCs/>
                <w:color w:val="000000"/>
                <w:sz w:val="20"/>
                <w:szCs w:val="20"/>
              </w:rPr>
              <w:t>3</w:t>
            </w:r>
            <w:r>
              <w:rPr>
                <w:rFonts w:hint="eastAsia" w:ascii="宋体" w:hAnsi="宋体" w:eastAsia="宋体" w:cs="宋体"/>
                <w:b/>
                <w:bCs/>
                <w:color w:val="000000"/>
                <w:sz w:val="20"/>
                <w:szCs w:val="20"/>
              </w:rPr>
              <w:t>　基础支撑平台</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1.人工智能开源软硬件基础平台。建立大数据人工智能开源软件基础平台、终端与云端协同的人工智能云服务平台、新型多元智能传感器件与集成平台、基于人工智能硬件的新产品设计平台、未来网络中的大数据智能化服务平台等。</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2.群体智能服务平台。建立群智众创计算支撑平台、科技众创服务系统、群智软件开发与验证自动化系统、群智软件学习与创新系统、开放环境的群智决策系统、群智共享经济服务系统。</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3.混合增强智能支撑平台。建立人工智能超级计算中心、大规模超级智能计算支撑环境、在线智能教育平台、“人在回路”驾驶脑、产业发展复杂性分析与风险评估的智能平台、支撑核电安全运营的智能保障平台、人机共驾技术研发与测试平台等。</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4.自主无人系统支撑平台。建立自主无人系统共性核心技术支撑平台，无人机自主控制以及汽车、船舶和轨道交通自动驾驶支撑平台，服务机器人、空间机器人、海洋机器人、极地机器人支撑平台，智能工厂与智能控制装备技术支撑平台等。</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5.人工智能基础数据与安全检测平台。建设面向人工智能的公共数据资源库、标准测试数据集、云服务平台，建立人工智能算法与平台安全性测试模型及评估模型，研发人工智能算法与平台安全性测评工具集。</w:t>
            </w:r>
          </w:p>
        </w:tc>
      </w:tr>
    </w:tbl>
    <w:p>
      <w:pPr>
        <w:shd w:val="clear" w:color="auto" w:fill="FFFFFF"/>
        <w:adjustRightInd/>
        <w:snapToGrid/>
        <w:spacing w:after="0"/>
        <w:ind w:firstLine="480"/>
        <w:jc w:val="both"/>
        <w:rPr>
          <w:rFonts w:ascii="宋体" w:hAnsi="宋体" w:eastAsia="宋体" w:cs="宋体"/>
          <w:color w:val="333333"/>
          <w:sz w:val="24"/>
          <w:szCs w:val="24"/>
        </w:rPr>
      </w:pP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4.加快培养聚集人工智能高端人才。</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把高端人才队伍建设作为人工智能发展的重中之重，坚持培养和引进相结合，完善人工智能教育体系，加强人才储备和梯队建设，特别是加快引进全球顶尖人才和青年人才，形成我国人工智能人才高地。</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培育高水平人工智能创新人才和团队。支持和培养具有发展潜力的人工智能领军人才，加强人工智能基础研究、应用研究、运行维护等方面专业技术人才培养。重视复合型人才培养，重点培养贯通人工智能理论、方法、技术、产品与应用等的纵向复合型人才，以及掌握“人工智能+”经济、社会、管理、标准、法律等的横向复合型人才。通过重大研发任务和基地平台建设，汇聚人工智能高端人才，在若干人工智能重点领域形成一批高水平创新团队。鼓励和引导国内创新人才、团队加强与全球顶尖人工智能研究机构合作互动。</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加大高端人工智能人才引进力度。开辟专门渠道，实行特殊政策，实现人工智能高端人才精准引进。重点引进神经认知、机器学习、自动驾驶、智能机器人等国际顶尖科学家和高水平创新团队。鼓励采取项目合作、技术咨询等方式柔性引进人工智能人才。统筹利用“千人计划”等现有人才计划，加强人工智能领域优秀人才特别是优秀青年人才引进工作。完善企业人力资本成本核算相关政策，激励企业、科研机构引进人工智能人才。</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建设人工智能学科。完善人工智能领域学科布局，设立人工智能专业，推动人工智能领域一级学科建设，尽快在试点院校建立人工智能学院，增加人工智能相关学科方向的博士、硕士招生名额。鼓励高校在原有基础上拓宽人工智能专业教育内容，形成“人工智能+X”复合专业培养新模式，重视人工智能与数学、计算机科学、物理学、生物学、心理学、社会学、法学等学科专业教育的交叉融合。加强产学研合作，鼓励高校、科研院所与企业等机构合作开展人工智能学科建设。</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（二）培育高端高效的智能经济。</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加快培育具有重大引领带动作用的人工智能产业，促进人工智能与各产业领域深度融合，形成数据驱动、人机协同、跨界融合、共创分享的智能经济形态。数据和知识成为经济增长的第一要素，人机协同成为主流生产和服务方式，跨界融合成为重要经济模式，共创分享成为经济生态基本特征，个性化需求与定制成为消费新潮流，生产率大幅提升，引领产业向价值链高端迈进，有力支撑实体经济发展，全面提升经济发展质量和效益。</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1.大力发展人工智能新兴产业。</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加快人工智能关键技术转化应用，促进技术集成与商业模式创新，推动重点领域智能产品创新，积极培育人工智能新兴业态，布局产业链高端，打造具有国际竞争力的人工智能产业集群。</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软硬件。开发面向人工智能的操作系统、数据库、中间件、开发工具等关键基础软件，突破图形处理器等核心硬件，研究图像识别、语音识别、机器翻译、智能交互、知识处理、控制决策等智能系统解决方案，培育壮大面向人工智能应用的基础软硬件产业。</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机器人。攻克智能机器人核心零部件、专用传感器，完善智能机器人硬件接口标准、软件接口协议标准以及安全使用标准。研制智能工业机器人、智能服务机器人，实现大规模应用并进入国际市场。研制和推广空间机器人、海洋机器人、极地机器人等特种智能机器人。建立智能机器人标准体系和安全规则。</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运载工具。发展自动驾驶汽车和轨道交通系统，加强车载感知、自动驾驶、车联网、物联网等技术集成和配套，开发交通智能感知系统，形成我国自主的自动驾驶平台技术体系和产品总成能力，探索自动驾驶汽车共享模式。发展消费类和商用类无人机、无人船，建立试验鉴定、测试、竞技等专业化服务体系，完善空域、水域管理措施。</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虚拟现实与增强现实。突破高性能软件建模、内容拍摄生成、增强现实与人机交互、集成环境与工具等关键技术，研制虚拟显示器件、光学器件、高性能真三维显示器、开发引擎等产品，建立虚拟现实与增强现实的技术、产品、服务标准和评价体系，推动重点行业融合应用。</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智能终端。加快智能终端核心技术和产品研发，发展新一代智能手机、车载智能终端等移动智能终端产品和设备，鼓励开发智能手表、智能耳机、智能眼镜等可穿戴终端产品，拓展产品形态和应用服务。</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物联网基础器件。发展支撑新一代物联网的高灵敏度、高可靠性智能传感器件和芯片，攻克射频识别、近距离机器通信等物联网核心技术和低功耗处理器等关键器件。</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2.加快推进产业智能化升级。</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推动人工智能与各行业融合创新，在制造、农业、物流、金融、商务、家居等重点行业和领域开展人工智能应用试点示范，推动人工智能规模化应用，全面提升产业发展智能化水平。</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制造。围绕制造强国重大需求，推进智能制造关键技术装备、核心支撑软件、工业互联网等系统集成应用，研发智能产品及智能互联产品、智能制造使能工具与系统、智能制造云服务平台，推广流程智能制造、离散智能制造、网络化协同制造、远程诊断与运维服务等新型制造模式，建立智能制造标准体系，推进制造全生命周期活动智能化。</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农业。研制农业智能传感与控制系统、智能化农业装备、农机田间作业自主系统等。建立完善天空地一体化的智能农业信息遥感监测网络。建立典型农业大数据智能决策分析系统，开展智能农场、智能化植物工厂、智能牧场、智能渔场、智能果园、农产品加工智能车间、农产品绿色智能供应链等集成应用示范。</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物流。加强智能化装卸搬运、分拣包装、加工配送等智能物流装备研发和推广应用，建设深度感知智能仓储系统，提升仓储运营管理水平和效率。完善智能物流公共信息平台和指挥系统、产品质量认证及追溯系统、智能配货调度体系等。</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智能金融。建立金融大数据系统，提升金融多媒体数据处理与理解能力。创新智能金融产品和服务，发展金融新业态。鼓励金融行业应用智能客服、智能监控等技术和装备。建立金融风险智能预警与防控系统。</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商务。鼓励跨媒体分析与推理、知识计算引擎与知识服务等新技术在商务领域应用，推广基于人工智能的新型商务服务与决策系统。建设涵盖地理位置、网络媒体和城市基础数据等跨媒体大数据平台，支撑企业开展智能商务。鼓励围绕个人需求、企业管理提供定制化商务智能决策服务。</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家居。加强人工智能技术与家居建筑系统的融合应用，提升建筑设备及家居产品的智能化水平。研发适应不同应用场景的家庭互联互通协议、接口标准，提升家电、耐用品等家居产品感知和联通能力。支持智能家居企业创新服务模式，提供互联共享解决方案。</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3.大力发展智能企业。</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大规模推动企业智能化升级。支持和引导企业在设计、生产、管理、物流和营销等核心业务环节应用人工智能新技术，构建新型企业组织结构和运营方式，形成制造与服务、金融智能化融合的业态模式，发展个性化定制，扩大智能产品供给。鼓励大型互联网企业建设云制造平台和服务平台，面向制造企业在线提供关键工业软件和模型库，开展制造能力外包服务，推动中小企业智能化发展。</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推广应用智能工厂。加强智能工厂关键技术和体系方法的应用示范，重点推广生产线重构与动态智能调度、生产装备智能物联与云化数据采集、多维人机物协同与互操作等技术，鼓励和引导企业建设工厂大数据系统、网络化分布式生产设施等，实现生产设备网络化、生产数据可视化、生产过程透明化、生产现场无人化，提升工厂运营管理智能化水平。</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加快培育人工智能产业领军企业。在无人机、语音识别、图像识别等优势领域加快打造人工智能全球领军企业和品牌。在智能机器人、智能汽车、可穿戴设备、虚拟现实等新兴领域加快培育一批龙头企业。支持人工智能企业加强专利布局，牵头或参与国际标准制定。推动国内优势企业、行业组织、科研机构、高校等联合组建中国人工智能产业技术创新联盟。支持龙头骨干企业构建开源硬件工厂、开源软件平台，形成集聚各类资源的创新生态，促进人工智能中小微企业发展和各领域应用。支持各类机构和平台面向人工智能企业提供专业化服务。</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4.打造人工智能创新高地。</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结合各地区基础和优势，按人工智能应用领域分门别类进行相关产业布局。鼓励地方围绕人工智能产业链和创新链，集聚高端要素、高端企业、高端人才，打造人工智能产业集群和创新高地。</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开展人工智能创新应用试点示范。在人工智能基础较好、发展潜力较大的地区，组织开展国家人工智能创新试验，探索体制机制、政策法规、人才培育等方面的重大改革，推动人工智能成果转化、重大产品集成创新和示范应用，形成可复制、可推广的经验，引领带动智能经济和智能社会发展。</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建设国家人工智能产业园。依托国家自主创新示范区和国家高新技术产业开发区等创新载体，加强科技、人才、金融、政策等要素的优化配置和组合，加快培育建设人工智能产业创新集群。</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建设国家人工智能众创基地。依托从事人工智能研究的高校、科研院所集中地区，搭建人工智能领域专业化创新平台等新型创业服务机构，建设一批低成本、便利化、全要素、开放式的人工智能众创空间，完善孵化服务体系，推进人工智能科技成果转移转化，支持人工智能创新创业。</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（三）建设安全便捷的智能社会。</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围绕提高人民生活水平和质量的目标，加快人工智能深度应用，形成无时不有、无处不在的智能化环境，全社会的智能化水平大幅提升。越来越多的简单性、重复性、危险性任务由人工智能完成，个体创造力得到极大发挥，形成更多高质量和高舒适度的就业岗位；精准化智能服务更加丰富多样，人们能够最大限度享受高质量服务和便捷生活；社会治理智能化水平大幅提升，社会运行更加安全高效。</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1.发展便捷高效的智能服务。</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围绕教育、医疗、养老等迫切民生需求，加快人工智能创新应用，为公众提供个性化、多元化、高品质服务。</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教育。利用智能技术加快推动人才培养模式、教学方法改革，构建包含智能学习、交互式学习的新型教育体系。开展智能校园建设，推动人工智能在教学、管理、资源建设等全流程应用。开发立体综合教学场、基于大数据智能的在线学习教育平台。开发智能教育助理，建立智能、快速、全面的教育分析系统。建立以学习者为中心的教育环境，提供精准推送的教育服务，实现日常教育和终身教育定制化。</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医疗。推广应用人工智能治疗新模式新手段，建立快速精准的智能医疗体系。探索智慧医院建设，开发人机协同的手术机器人、智能诊疗助手，研发柔性可穿戴、生物兼容的生理监测系统，研发人机协同临床智能诊疗方案，实现智能影像识别、病理分型和智能多学科会诊。基于人工智能开展大规模基因组识别、蛋白组学、代谢组学等研究和新药研发，推进医药监管智能化。加强流行病智能监测和防控。</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健康和养老。加强群体智能健康管理，突破健康大数据分析、物联网等关键技术，研发健康管理可穿戴设备和家庭智能健康检测监测设备，推动健康管理实现从点状监测向连续监测、从短流程管理向长流程管理转变。建设智能养老社区和机构，构建安全便捷的智能化养老基础设施体系。加强老年人产品智能化和智能产品适老化，开发视听辅助设备、物理辅助设备等智能家居养老设备，拓展老年人活动空间。开发面向老年人的移动社交和服务平台、情感陪护助手，提升老年人生活质量。</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2.推进社会治理智能化。</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围绕行政管理、司法管理、城市管理、环境保护等社会治理的热点难点问题，促进人工智能技术应用，推动社会治理现代化。</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政务。开发适于政府服务与决策的人工智能平台，研制面向开放环境的决策引擎，在复杂社会问题研判、政策评估、风险预警、应急处置等重大战略决策方面推广应用。加强政务信息资源整合和公共需求精准预测，畅通政府与公众的交互渠道。</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智慧法庭。建设集审判、人员、数据应用、司法公开和动态监控于一体的智慧法庭数据平台，促进人工智能在证据收集、案例分析、法律文件阅读与分析中的应用，实现法院审判体系和审判能力智能化。</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慧城市。构建城市智能化基础设施，发展智能建筑，推动地下管廊等市政基础设施智能化改造升级；建设城市大数据平台，构建多元异构数据融合的城市运行管理体系，实现对城市基础设施和城市绿地、湿地等重要生态要素的全面感知以及对城市复杂系统运行的深度认知；研发构建社区公共服务信息系统，促进社区服务系统与居民智能家庭系统协同；推进城市规划、建设、管理、运营全生命周期智能化。</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交通。研究建立营运车辆自动驾驶与车路协同的技术体系。研发复杂场景下的多维交通信息综合大数据应用平台，实现智能化交通疏导和综合运行协调指挥，建成覆盖地面、轨道、低空和海上的智能交通监控、管理和服务系统。</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智能环保。建立涵盖大气、水、土壤等环境领域的智能监控大数据平台体系，建成陆海统筹、天地一体、上下协同、信息共享的智能环境监测网络和服务平台。研发资源能源消耗、环境污染物排放智能预测模型方法和预警方案。加强京津冀、长江经济带等国家重大战略区域环境保护和突发环境事件智能防控体系建设。</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3.利用人工智能提升公共安全保障能力。</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促进人工智能在公共安全领域的深度应用，推动构建公共安全智能化监测预警与控制体系。围绕社会综合治理、新型犯罪侦查、反恐等迫切需求，研发集成多种探测传感技术、视频图像信息分析识别技术、生物特征识别技术的智能安防与警用产品，建立智能化监测平台。加强对重点公共区域安防设备的智能化改造升级，支持有条件的社区或城市开展基于人工智能的公共安防区域示范。强化人工智能对食品安全的保障，围绕食品分类、预警等级、食品安全隐患及评估等，建立智能化食品安全预警系统。加强人工智能对自然灾害的有效监测，围绕地震灾害、地质灾害、气象灾害、水旱灾害和海洋灾害等重大自然灾害，构建智能化监测预警与综合应对平台。</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4.促进社会交往共享互信。</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充分发挥人工智能技术在增强社会互动、促进可信交流中的作用。加强下一代社交网络研发，加快增强现实、虚拟现实等技术推广应用，促进虚拟环境和实体环境协同融合，满足个人感知、分析、判断与决策等实时信息需求，实现在工作、学习、生活、娱乐等不同场景下的流畅切换。针对改善人际沟通障碍的需求，开发具有情感交互功能、能准确理解人的需求的智能助理产品，实现情感交流和需求满足的良性循环。促进区块链技术与人工智能的融合，建立新型社会信用体系，最大限度降低人际交往成本和风险。</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（四）加强人工智能领域军民融合。</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深入贯彻落实军民融合发展战略，推动形成全要素、多领域、高效益的人工智能军民融合格局。以军民共享共用为导向部署新一代人工智能基础理论和关键共性技术研发，建立科研院所、高校、企业和军工单位的常态化沟通协调机制。促进人工智能技术军民双向转化，强化新一代人工智能技术对指挥决策、军事推演、国防装备等的有力支撑，引导国防领域人工智能科技成果向民用领域转化应用。鼓励优势民口科研力量参与国防领域人工智能重大科技创新任务，推动各类人工智能技术快速嵌入国防创新领域。加强军民人工智能技术通用标准体系建设，推进科技创新平台基地的统筹布局和开放共享。</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（五）构建泛在安全高效的智能化基础设施体系。</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大力推动智能化信息基础设施建设，提升传统基础设施的智能化水平，形成适应智能经济、智能社会和国防建设需要的基础设施体系。加快推动以信息传输为核心的数字化、网络化信息基础设施，向集融合感知、传输、存储、计算、处理于一体的智能化信息基础设施转变。优化升级网络基础设施，研发布局第五代移动通信（5G）系统，完善物联网基础设施，加快天地一体化信息网络建设，提高低时延、高通量的传输能力。统筹利用大数据基础设施，强化数据安全与隐私保护，为人工智能研发和广泛应用提供海量数据支撑。建设高效能计算基础设施，提升超级计算中心对人工智能应用的服务支撑能力。建设分布式高效能源互联网，形成支撑多能源协调互补、及时有效接入的新型能源网络，推广智能储能设施、智能用电设施，实现能源供需信息的实时匹配和智能化响应。</w:t>
      </w:r>
    </w:p>
    <w:p>
      <w:pPr>
        <w:shd w:val="clear" w:color="auto" w:fill="FFFFFF"/>
        <w:adjustRightInd/>
        <w:snapToGrid/>
        <w:spacing w:after="0"/>
        <w:ind w:firstLine="480"/>
        <w:jc w:val="both"/>
        <w:rPr>
          <w:rFonts w:hint="eastAsia" w:ascii="宋体" w:hAnsi="宋体" w:eastAsia="宋体" w:cs="宋体"/>
          <w:color w:val="333333"/>
          <w:sz w:val="24"/>
          <w:szCs w:val="24"/>
        </w:rPr>
      </w:pPr>
    </w:p>
    <w:tbl>
      <w:tblPr>
        <w:tblStyle w:val="3"/>
        <w:tblW w:w="9072" w:type="dxa"/>
        <w:jc w:val="center"/>
        <w:tblInd w:w="0" w:type="dxa"/>
        <w:tblLayout w:type="fixed"/>
        <w:tblCellMar>
          <w:top w:w="0" w:type="dxa"/>
          <w:left w:w="0" w:type="dxa"/>
          <w:bottom w:w="0" w:type="dxa"/>
          <w:right w:w="0" w:type="dxa"/>
        </w:tblCellMar>
      </w:tblPr>
      <w:tblGrid>
        <w:gridCol w:w="9072"/>
      </w:tblGrid>
      <w:tr>
        <w:tblPrEx>
          <w:tblLayout w:type="fixed"/>
          <w:tblCellMar>
            <w:top w:w="0" w:type="dxa"/>
            <w:left w:w="0" w:type="dxa"/>
            <w:bottom w:w="0" w:type="dxa"/>
            <w:right w:w="0" w:type="dxa"/>
          </w:tblCellMar>
        </w:tblPrEx>
        <w:trPr>
          <w:jc w:val="center"/>
        </w:trPr>
        <w:tc>
          <w:tcPr>
            <w:tcW w:w="9072"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tcPr>
          <w:p>
            <w:pPr>
              <w:adjustRightInd/>
              <w:snapToGrid/>
              <w:spacing w:after="0"/>
              <w:jc w:val="center"/>
              <w:rPr>
                <w:rFonts w:hint="eastAsia" w:ascii="Calibri" w:hAnsi="Calibri" w:eastAsia="宋体" w:cs="宋体"/>
                <w:sz w:val="21"/>
                <w:szCs w:val="21"/>
              </w:rPr>
            </w:pPr>
            <w:r>
              <w:rPr>
                <w:rFonts w:hint="eastAsia" w:ascii="宋体" w:hAnsi="宋体" w:eastAsia="宋体" w:cs="宋体"/>
                <w:b/>
                <w:bCs/>
                <w:color w:val="000000"/>
                <w:sz w:val="20"/>
                <w:szCs w:val="20"/>
              </w:rPr>
              <w:t>专栏</w:t>
            </w:r>
            <w:r>
              <w:rPr>
                <w:rFonts w:ascii="Calibri" w:hAnsi="Calibri" w:eastAsia="宋体" w:cs="宋体"/>
                <w:b/>
                <w:bCs/>
                <w:color w:val="000000"/>
                <w:sz w:val="20"/>
                <w:szCs w:val="20"/>
              </w:rPr>
              <w:t>4</w:t>
            </w:r>
            <w:r>
              <w:rPr>
                <w:rFonts w:hint="eastAsia" w:ascii="宋体" w:hAnsi="宋体" w:eastAsia="宋体" w:cs="宋体"/>
                <w:b/>
                <w:bCs/>
                <w:color w:val="000000"/>
                <w:sz w:val="20"/>
                <w:szCs w:val="20"/>
              </w:rPr>
              <w:t>　智能化基础设施</w:t>
            </w:r>
          </w:p>
        </w:tc>
      </w:tr>
      <w:tr>
        <w:tblPrEx>
          <w:tblLayout w:type="fixed"/>
          <w:tblCellMar>
            <w:top w:w="0" w:type="dxa"/>
            <w:left w:w="0" w:type="dxa"/>
            <w:bottom w:w="0" w:type="dxa"/>
            <w:right w:w="0" w:type="dxa"/>
          </w:tblCellMar>
        </w:tblPrEx>
        <w:trPr>
          <w:jc w:val="center"/>
        </w:trPr>
        <w:tc>
          <w:tcPr>
            <w:tcW w:w="9072" w:type="dxa"/>
            <w:tcBorders>
              <w:top w:val="nil"/>
              <w:left w:val="single" w:color="000000" w:sz="8" w:space="0"/>
              <w:bottom w:val="single" w:color="000000" w:sz="8" w:space="0"/>
              <w:right w:val="single" w:color="000000" w:sz="8" w:space="0"/>
            </w:tcBorders>
            <w:tcMar>
              <w:top w:w="0" w:type="dxa"/>
              <w:left w:w="108" w:type="dxa"/>
              <w:bottom w:w="0" w:type="dxa"/>
              <w:right w:w="108" w:type="dxa"/>
            </w:tcMar>
          </w:tcPr>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1.网络基础设施。加快布局实时协同人工智能的5G增强技术研发及应用，建设面向空间协同人工智能的高精度导航定位网络，加强智能感知物联网核心技术攻关和关键设施建设，发展支撑智能化的工业互联网、面向无人驾驶的车联网等，研究智能化网络安全架构。加快建设天地一体化信息网络，推进天基信息网、未来互联网、移动通信网的全面融合。</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2.大数据基础设施。依托国家数据共享交换平台、数据开放平台等公共基础设施，建设政府治理、公共服务、产业发展、技术研发等领域大数据基础信息数据库，支撑开展国家治理大数据应用。整合社会各类数据平台和数据中心资源，形成覆盖全国、布局合理、链接畅通的一体化服务能力。</w:t>
            </w:r>
          </w:p>
          <w:p>
            <w:pPr>
              <w:adjustRightInd/>
              <w:snapToGrid/>
              <w:spacing w:after="0" w:line="403" w:lineRule="atLeast"/>
              <w:ind w:firstLine="480"/>
              <w:jc w:val="both"/>
              <w:rPr>
                <w:rFonts w:ascii="Calibri" w:hAnsi="Calibri" w:eastAsia="宋体" w:cs="宋体"/>
                <w:sz w:val="21"/>
                <w:szCs w:val="21"/>
              </w:rPr>
            </w:pPr>
            <w:r>
              <w:rPr>
                <w:rFonts w:hint="eastAsia" w:ascii="宋体" w:hAnsi="宋体" w:eastAsia="宋体" w:cs="宋体"/>
                <w:color w:val="000000"/>
                <w:sz w:val="20"/>
                <w:szCs w:val="20"/>
              </w:rPr>
              <w:t>3.高效能计算基础设施。继续加强超级计算基础设施、分布式计算基础设施和云计算中心建设，构建可持续发展的高性能计算应用生态环境。推进下一代超级计算机研发应用。</w:t>
            </w:r>
          </w:p>
        </w:tc>
      </w:tr>
    </w:tbl>
    <w:p>
      <w:pPr>
        <w:shd w:val="clear" w:color="auto" w:fill="FFFFFF"/>
        <w:adjustRightInd/>
        <w:snapToGrid/>
        <w:spacing w:after="0"/>
        <w:ind w:firstLine="480"/>
        <w:jc w:val="both"/>
        <w:rPr>
          <w:rFonts w:ascii="宋体" w:hAnsi="宋体" w:eastAsia="宋体" w:cs="宋体"/>
          <w:color w:val="333333"/>
          <w:sz w:val="24"/>
          <w:szCs w:val="24"/>
        </w:rPr>
      </w:pP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（六）前瞻布局新一代人工智能重大科技项目。</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针对我国人工智能发展的迫切需求和薄弱环节，设立新一代人工智能重大科技项目。加强整体统筹，明确任务边界和研发重点，形成以新一代人工智能重大科技项目为核心、现有研发布局为支撑的“1+N”人工智能项目群。</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1”是指新一代人工智能重大科技项目，聚焦基础理论和关键共性技术的前瞻布局，包括研究大数据智能、跨媒体感知计算、混合增强智能、群体智能、自主协同控制与决策等理论，研究知识计算引擎与知识服务技术、跨媒体分析推理技术、群体智能关键技术、混合增强智能新架构与新技术、自主无人控制技术等，开源共享人工智能基础理论和共性技术。持续开展人工智能发展的预测和研判，加强人工智能对经济社会综合影响及对策研究。</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N”是指国家相关规划计划中部署的人工智能研发项目，重点是加强与新一代人工智能重大科技项目的衔接，协同推进人工智能的理论研究、技术突破和产品研发应用。加强与国家科技重大专项的衔接，在“核高基”（核心电子器件、高端通用芯片、基础软件）、集成电路装备等国家科技重大专项中支持人工智能软硬件发展。加强与其他“科技创新2030—重大项目”的相互支撑，加快脑科学与类脑计算、量子信息与量子计算、智能制造与机器人、大数据等研究，为人工智能重大技术突破提供支撑。国家重点研发计划继续推进高性能计算等重点专项实施，加大对人工智能相关技术研发和应用的支持；国家自然科学基金加强对人工智能前沿领域交叉学科研究和自由探索的支持。在深海空间站、健康保障等重大项目，以及智慧城市、智能农机装备等国家重点研发计划重点专项部署中，加强人工智能技术的应用示范。其他各类科技计划支持的人工智能相关基础理论和共性技术研究成果应开放共享。</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创新新一代人工智能重大科技项目组织实施模式，坚持集中力量办大事、重点突破的原则，充分发挥市场机制作用，调动部门、地方、企业和社会各方面力量共同推进实施。明确管理责任，定期开展评估，加强动态调整，提高管理效率。</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b/>
          <w:bCs/>
          <w:color w:val="333333"/>
          <w:sz w:val="24"/>
          <w:szCs w:val="24"/>
        </w:rPr>
        <w:t>四、资源配置</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充分利用已有资金、基地等存量资源，统筹配置国际国内创新资源，发挥好财政投入、政策激励的引导作用和市场配置资源的主导作用，撬动企业、社会加大投入，形成财政资金、金融资本、社会资本多方支持的新格局。</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（一）建立财政引导、市场主导的资金支持机制。</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统筹政府和市场多渠道资金投入，加大财政资金支持力度，盘活现有资源，对人工智能基础前沿研究、关键共性技术攻关、成果转移转化、基地平台建设、创新应用示范等提供支持。利用现有政府投资基金支持符合条件的人工智能项目，鼓励龙头骨干企业、产业创新联盟牵头成立市场化的人工智能发展基金。利用天使投资、风险投资、创业投资基金及资本市场融资等多种渠道，引导社会资本支持人工智能发展。积极运用政府和社会资本合作等模式，引导社会资本参与人工智能重大项目实施和科技成果转化应用。</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（二）优化布局建设人工智能创新基地。</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按照国家级科技创新基地布局和框架，统筹推进人工智能领域建设若干国际领先的创新基地。引导现有与人工智能相关的国家重点实验室、企业国家重点实验室、国家工程实验室等基地，聚焦新一代人工智能的前沿方向开展研究。按规定程序，以企业为主体、产学研合作组建人工智能领域的相关技术和产业创新基地，发挥龙头骨干企业技术创新示范带动作用。发展人工智能领域的专业化众创空间，促进最新技术成果和资源、服务的精准对接。充分发挥各类创新基地聚集人才、资金等创新资源的作用，突破人工智能基础前沿理论和关键共性技术，开展应用示范。</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（三）统筹国际国内创新资源。</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支持国内人工智能企业与国际人工智能领先高校、科研院所、团队合作。鼓励国内人工智能企业“走出去”，为有实力的人工智能企业开展海外并购、股权投资、创业投资和建立海外研发中心等提供便利和服务。鼓励国外人工智能企业、科研机构在华设立研发中心。依托“一带一路”战略，推动建设人工智能国际科技合作基地、联合研究中心等，加快人工智能技术在“一带一路”沿线国家推广应用。推动成立人工智能国际组织，共同制定相关国际标准。支持相关行业协会、联盟及服务机构搭建面向人工智能企业的全球化服务平台。</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b/>
          <w:bCs/>
          <w:color w:val="333333"/>
          <w:sz w:val="24"/>
          <w:szCs w:val="24"/>
        </w:rPr>
        <w:t>五、保障措施</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围绕推动我国人工智能健康快速发展的现实要求，妥善应对人工智能可能带来的挑战，形成适应人工智能发展的制度安排，构建开放包容的国际化环境，夯实人工智能发展的社会基础。</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（一）制定促进人工智能发展的法律法规和伦理规范。</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加强人工智能相关法律、伦理和社会问题研究，建立保障人工智能健康发展的法律法规和伦理道德框架。开展与人工智能应用相关的民事与刑事责任确认、隐私和产权保护、信息安全利用等法律问题研究，建立追溯和问责制度，明确人工智能法律主体以及相关权利、义务和责任等。重点围绕自动驾驶、服务机器人等应用基础较好的细分领域，加快研究制定相关安全管理法规，为新技术的快速应用奠定法律基础。开展人工智能行为科学和伦理等问题研究，建立伦理道德多层次判断结构及人机协作的伦理框架。制定人工智能产品研发设计人员的道德规范和行为守则，加强对人工智能潜在危害与收益的评估，构建人工智能复杂场景下突发事件的解决方案。积极参与人工智能全球治理，加强机器人异化和安全监管等人工智能重大国际共性问题研究，深化在人工智能法律法规、国际规则等方面的国际合作，共同应对全球性挑战。</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（二）完善支持人工智能发展的重点政策。</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落实对人工智能中小企业和初创企业的财税优惠政策，通过高新技术企业税收优惠和研发费用加计扣除等政策支持人工智能企业发展。完善落实数据开放与保护相关政策，开展公共数据开放利用改革试点，支持公众和企业充分挖掘公共数据的商业价值，促进人工智能应用创新。研究完善适应人工智能的教育、医疗、保险、社会救助等政策体系，有效应对人工智能带来的社会问题。</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（三）建立人工智能技术标准和知识产权体系。</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加强人工智能标准框架体系研究。坚持安全性、可用性、互操作性、可追溯性原则，逐步建立并完善人工智能基础共性、互联互通、行业应用、网络安全、隐私保护等技术标准。加快推动无人驾驶、服务机器人等细分应用领域的行业协会和联盟制定相关标准。鼓励人工智能企业参与或主导制定国际标准，以技术标准“走出去”带动人工智能产品和服务在海外推广应用。加强人工智能领域的知识产权保护，健全人工智能领域技术创新、专利保护与标准化互动支撑机制，促进人工智能创新成果的知识产权化。建立人工智能公共专利池，促进人工智能新技术的利用与扩散。</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（四）建立人工智能安全监管和评估体系。</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加强人工智能对国家安全和保密领域影响的研究与评估，完善人、技、物、管配套的安全防护体系，构建人工智能安全监测预警机制。加强对人工智能技术发展的预测、研判和跟踪研究，坚持问题导向，准确把握技术和产业发展趋势。增强风险意识，重视风险评估和防控，强化前瞻预防和约束引导，近期重点关注对就业的影响，远期重点考虑对社会伦理的影响，确保把人工智能发展规制在安全可控范围内。建立健全公开透明的人工智能监管体系，实行设计问责和应用监督并重的双层监管结构，实现对人工智能算法设计、产品开发和成果应用等的全流程监管。促进人工智能行业和企业自律，切实加强管理，加大对数据滥用、侵犯个人隐私、违背道德伦理等行为的惩戒力度。加强人工智能网络安全技术研发，强化人工智能产品和系统网络安全防护。构建动态的人工智能研发应用评估评价机制，围绕人工智能设计、产品和系统的复杂性、风险性、不确定性、可解释性、潜在经济影响等问题，开发系统性的测试方法和指标体系，建设跨领域的人工智能测试平台，推动人工智能安全认证，评估人工智能产品和系统的关键性能。</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（五）大力加强人工智能劳动力培训。</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加快研究人工智能带来的就业结构、就业方式转变以及新型职业和工作岗位的技能需求，建立适应智能经济和智能社会需要的终身学习和就业培训体系，支持高等院校、职业学校和社会化培训机构等开展人工智能技能培训，大幅提升就业人员专业技能，满足我国人工智能发展带来的高技能高质量就业岗位需要。鼓励企业和各类机构为员工提供人工智能技能培训。加强职工再就业培训和指导，确保从事简单重复性工作的劳动力和因人工智能失业的人员顺利转岗。</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（六）广泛开展人工智能科普活动。</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支持开展形式多样的人工智能科普活动，鼓励广大科技工作者投身人工智能的科普与推广，全面提高全社会对人工智能的整体认知和应用水平。实施全民智能教育项目，在中小学阶段设置人工智能相关课程，逐步推广编程教育，鼓励社会力量参与寓教于乐的编程教学软件、游戏的开发和推广。建设和完善人工智能科普基础设施，充分发挥各类人工智能创新基地平台等的科普作用，鼓励人工智能企业、科研机构搭建开源平台，面向公众开放人工智能研发平台、生产设施或展馆等。支持开展人工智能竞赛，鼓励进行形式多样的人工智能科普创作。鼓励科学家参与人工智能科普。</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b/>
          <w:bCs/>
          <w:color w:val="333333"/>
          <w:sz w:val="24"/>
          <w:szCs w:val="24"/>
        </w:rPr>
        <w:t>六、组织实施</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新一代人工智能发展规划是关系全局和长远的前瞻谋划。必须加强组织领导，健全机制，瞄准目标，紧盯任务，以钉钉子的精神切实抓好落实，一张蓝图干到底。</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（一）组织领导。</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按照党中央、国务院统一部署，由国家科技体制改革和创新体系建设领导小组牵头统筹协调，审议重大任务、重大政策、重大问题和重点工作安排，推动人工智能相关法律法规建设，指导、协调和督促有关部门做好规划任务的部署实施。依托国家科技计划（专项、基金等）管理部际联席会议，科技部会同有关部门负责推进新一代人工智能重大科技项目实施，加强与其他计划任务的衔接协调。成立人工智能规划推进办公室，办公室设在科技部，具体负责推进规划实施。成立人工智能战略咨询委员会，研究人工智能前瞻性、战略性重大问题，对人工智能重大决策提供咨询评估。推进人工智能智库建设，支持各类智库开展人工智能重大问题研究，为人工智能发展提供强大智力支持。</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（二）保障落实。</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加强规划任务分解，明确责任单位和进度安排，制定年度和阶段性实施计划。建立年度评估、中期评估等规划实施情况的监测评估机制。适应人工智能快速发展的特点，根据任务进展情况、阶段目标完成情况、技术发展新动向等，加强对规划和项目的动态调整。</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（三）试点示范。</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对人工智能重大任务和重点政策措施，要制定具体方案，开展试点示范。加强对各部门、各地方试点示范的统筹指导，及时总结推广可复制的经验和做法。通过试点先行、示范引领，推进人工智能健康有序发展。</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楷体" w:hAnsi="楷体" w:eastAsia="楷体" w:cs="宋体"/>
          <w:color w:val="333333"/>
          <w:sz w:val="24"/>
          <w:szCs w:val="24"/>
        </w:rPr>
        <w:t>（四）舆论引导。</w:t>
      </w:r>
    </w:p>
    <w:p>
      <w:pPr>
        <w:shd w:val="clear" w:color="auto" w:fill="FFFFFF"/>
        <w:adjustRightInd/>
        <w:snapToGrid/>
        <w:spacing w:after="0"/>
        <w:ind w:firstLine="480"/>
        <w:jc w:val="both"/>
        <w:rPr>
          <w:rFonts w:hint="eastAsia" w:ascii="宋体" w:hAnsi="宋体" w:eastAsia="宋体" w:cs="宋体"/>
          <w:color w:val="333333"/>
          <w:sz w:val="24"/>
          <w:szCs w:val="24"/>
        </w:rPr>
      </w:pPr>
      <w:r>
        <w:rPr>
          <w:rFonts w:hint="eastAsia" w:ascii="宋体" w:hAnsi="宋体" w:eastAsia="宋体" w:cs="宋体"/>
          <w:color w:val="333333"/>
          <w:sz w:val="24"/>
          <w:szCs w:val="24"/>
        </w:rPr>
        <w:t>充分利用各种传统媒体和新兴媒体，及时宣传人工智能新进展、新成效，让人工智能健康发展成为全社会共识，调动全社会参与支持人工智能发展的积极性。及时做好舆论引导，更好应对人工智能发展可能带来的社会、伦理和法律等挑战。</w:t>
      </w:r>
    </w:p>
    <w:p>
      <w:pPr>
        <w:spacing w:line="220" w:lineRule="atLeast"/>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720"/>
  <w:characterSpacingControl w:val="doNotCompress"/>
  <w:compat>
    <w:useFELayout/>
    <w:compatSetting w:name="compatibilityMode" w:uri="http://schemas.microsoft.com/office/word" w:val="12"/>
  </w:compat>
  <w:rsids>
    <w:rsidRoot w:val="00D31D50"/>
    <w:rsid w:val="00323B43"/>
    <w:rsid w:val="003D37D8"/>
    <w:rsid w:val="00426133"/>
    <w:rsid w:val="004358AB"/>
    <w:rsid w:val="007132C3"/>
    <w:rsid w:val="008B7726"/>
    <w:rsid w:val="00D31D50"/>
    <w:rsid w:val="1FE243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 w:type="paragraph" w:styleId="2">
    <w:name w:val="Normal (Web)"/>
    <w:basedOn w:val="1"/>
    <w:semiHidden/>
    <w:unhideWhenUsed/>
    <w:uiPriority w:val="99"/>
    <w:pPr>
      <w:adjustRightInd/>
      <w:snapToGrid/>
      <w:spacing w:before="100" w:beforeAutospacing="1" w:after="100" w:afterAutospacing="1"/>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3019</Words>
  <Characters>17214</Characters>
  <Lines>143</Lines>
  <Paragraphs>40</Paragraphs>
  <TotalTime>3</TotalTime>
  <ScaleCrop>false</ScaleCrop>
  <LinksUpToDate>false</LinksUpToDate>
  <CharactersWithSpaces>20193</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Administrator</dc:creator>
  <cp:lastModifiedBy>Administrator</cp:lastModifiedBy>
  <dcterms:modified xsi:type="dcterms:W3CDTF">2019-06-11T04:20:48Z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