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仿宋_GB2312" w:hAnsi="仿宋" w:eastAsia="仿宋_GB2312" w:cs="Arial"/>
          <w:b w:val="0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 w:cs="Arial"/>
          <w:b w:val="0"/>
          <w:bCs/>
          <w:color w:val="000000"/>
          <w:kern w:val="0"/>
          <w:sz w:val="28"/>
          <w:szCs w:val="28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ascii="仿宋_GB2312" w:hAnsi="仿宋" w:eastAsia="仿宋_GB2312" w:cs="Arial"/>
          <w:b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Arial"/>
          <w:b/>
          <w:bCs w:val="0"/>
          <w:color w:val="000000"/>
          <w:kern w:val="0"/>
          <w:sz w:val="32"/>
          <w:szCs w:val="32"/>
          <w:lang w:val="en-US" w:eastAsia="zh-CN"/>
        </w:rPr>
        <w:t>青海大学申报国家级一流本科专业建设点评分表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both"/>
        <w:textAlignment w:val="auto"/>
        <w:rPr>
          <w:rFonts w:hint="eastAsia" w:ascii="仿宋_GB2312" w:hAnsi="仿宋" w:eastAsia="仿宋_GB2312" w:cs="Arial"/>
          <w:b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Arial"/>
          <w:b/>
          <w:bCs w:val="0"/>
          <w:color w:val="000000"/>
          <w:kern w:val="0"/>
          <w:sz w:val="32"/>
          <w:szCs w:val="32"/>
          <w:lang w:val="en-US" w:eastAsia="zh-CN"/>
        </w:rPr>
        <w:t xml:space="preserve">专业名称： </w:t>
      </w:r>
    </w:p>
    <w:tbl>
      <w:tblPr>
        <w:tblStyle w:val="3"/>
        <w:tblpPr w:leftFromText="180" w:rightFromText="180" w:vertAnchor="text" w:horzAnchor="page" w:tblpX="1837" w:tblpY="593"/>
        <w:tblOverlap w:val="never"/>
        <w:tblW w:w="85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3727"/>
        <w:gridCol w:w="623"/>
        <w:gridCol w:w="623"/>
        <w:gridCol w:w="623"/>
        <w:gridCol w:w="623"/>
        <w:gridCol w:w="6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67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 w:cs="方正小标宋简体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方正小标宋简体"/>
                <w:b/>
                <w:bCs/>
                <w:color w:val="000000"/>
                <w:sz w:val="24"/>
                <w:szCs w:val="24"/>
              </w:rPr>
              <w:t>评价内容</w:t>
            </w:r>
            <w:r>
              <w:rPr>
                <w:rFonts w:hint="eastAsia" w:ascii="宋体" w:hAnsi="宋体" w:cs="方正小标宋简体"/>
                <w:b/>
                <w:bCs/>
                <w:color w:val="000000"/>
                <w:sz w:val="24"/>
                <w:szCs w:val="24"/>
                <w:lang w:eastAsia="zh-CN"/>
              </w:rPr>
              <w:t>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 w:cs="方正小标宋简体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方正小标宋简体"/>
                <w:b/>
                <w:bCs/>
                <w:color w:val="000000"/>
                <w:sz w:val="24"/>
                <w:szCs w:val="24"/>
                <w:lang w:eastAsia="zh-CN"/>
              </w:rPr>
              <w:t>分值占比</w:t>
            </w:r>
          </w:p>
        </w:tc>
        <w:tc>
          <w:tcPr>
            <w:tcW w:w="372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方正小标宋简体"/>
                <w:b/>
                <w:bCs/>
                <w:color w:val="000000"/>
                <w:sz w:val="24"/>
                <w:szCs w:val="24"/>
              </w:rPr>
              <w:t>评价要点</w:t>
            </w:r>
          </w:p>
        </w:tc>
        <w:tc>
          <w:tcPr>
            <w:tcW w:w="311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方正小标宋简体"/>
                <w:b/>
                <w:bCs/>
                <w:color w:val="000000"/>
                <w:sz w:val="24"/>
                <w:szCs w:val="24"/>
                <w:lang w:eastAsia="zh-CN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167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2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eastAsia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6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eastAsia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6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eastAsia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6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eastAsia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6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eastAsia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6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方正小标宋简体"/>
                <w:b/>
                <w:bCs/>
                <w:color w:val="000000"/>
                <w:sz w:val="24"/>
                <w:szCs w:val="24"/>
                <w:lang w:eastAsia="zh-CN"/>
              </w:rPr>
              <w:t>专业定位明确</w:t>
            </w:r>
          </w:p>
        </w:tc>
        <w:tc>
          <w:tcPr>
            <w:tcW w:w="37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480" w:firstLineChars="200"/>
              <w:jc w:val="left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方正小标宋简体"/>
                <w:color w:val="000000"/>
                <w:sz w:val="24"/>
                <w:szCs w:val="24"/>
                <w:lang w:val="en-US" w:eastAsia="zh-CN"/>
              </w:rPr>
              <w:t>服务面向清晰，适应国家和区域经济社会发展需要，符合学校发展定位和办学方向</w:t>
            </w:r>
            <w:r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6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6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方正小标宋简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专业管理规范</w:t>
            </w:r>
          </w:p>
        </w:tc>
        <w:tc>
          <w:tcPr>
            <w:tcW w:w="37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480" w:firstLineChars="200"/>
              <w:jc w:val="left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方正小标宋简体"/>
                <w:color w:val="000000"/>
                <w:kern w:val="2"/>
                <w:sz w:val="24"/>
                <w:szCs w:val="24"/>
                <w:lang w:val="en-US" w:eastAsia="zh-CN" w:bidi="ar-SA"/>
              </w:rPr>
              <w:t>切实落实本科专业国家标准要求，人才培养方案科学合理，教育教学管理规范有序。近三年未出现重大安全责任事故</w:t>
            </w:r>
            <w:r>
              <w:rPr>
                <w:rFonts w:hint="eastAsia" w:ascii="宋体" w:hAnsi="宋体" w:cs="方正小标宋简体"/>
                <w:color w:val="000000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</w:tc>
        <w:tc>
          <w:tcPr>
            <w:tcW w:w="6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6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方正小标宋简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改革成效突出</w:t>
            </w:r>
          </w:p>
        </w:tc>
        <w:tc>
          <w:tcPr>
            <w:tcW w:w="37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480" w:firstLineChars="200"/>
              <w:jc w:val="left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方正小标宋简体"/>
                <w:color w:val="000000"/>
                <w:kern w:val="2"/>
                <w:sz w:val="24"/>
                <w:szCs w:val="24"/>
                <w:lang w:val="en-US" w:eastAsia="zh-CN" w:bidi="ar-SA"/>
              </w:rPr>
              <w:t>持续深化教育教学改革，教育理念先进，教学内容更新及时，方法手段不断创新，以新理念、新形态、新方法引领带动新工科、新医科、新农科</w:t>
            </w:r>
            <w:r>
              <w:rPr>
                <w:rFonts w:hint="eastAsia" w:ascii="宋体" w:hAnsi="宋体" w:cs="方正小标宋简体"/>
                <w:color w:val="000000"/>
                <w:kern w:val="2"/>
                <w:sz w:val="24"/>
                <w:szCs w:val="24"/>
                <w:lang w:val="en-US" w:eastAsia="zh-CN" w:bidi="ar-SA"/>
              </w:rPr>
              <w:t>、新文科</w:t>
            </w:r>
            <w:r>
              <w:rPr>
                <w:rFonts w:hint="eastAsia" w:ascii="宋体" w:hAnsi="宋体" w:eastAsia="宋体" w:cs="方正小标宋简体"/>
                <w:color w:val="000000"/>
                <w:kern w:val="2"/>
                <w:sz w:val="24"/>
                <w:szCs w:val="24"/>
                <w:lang w:val="en-US" w:eastAsia="zh-CN" w:bidi="ar-SA"/>
              </w:rPr>
              <w:t>建设。</w:t>
            </w:r>
          </w:p>
        </w:tc>
        <w:tc>
          <w:tcPr>
            <w:tcW w:w="6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6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方正小标宋简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师资力量雄厚</w:t>
            </w:r>
          </w:p>
        </w:tc>
        <w:tc>
          <w:tcPr>
            <w:tcW w:w="37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480" w:firstLineChars="200"/>
              <w:jc w:val="left"/>
              <w:textAlignment w:val="auto"/>
              <w:rPr>
                <w:rFonts w:hint="eastAsia" w:ascii="宋体" w:hAnsi="宋体" w:eastAsia="宋体" w:cs="方正小标宋简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方正小标宋简体"/>
                <w:color w:val="000000"/>
                <w:kern w:val="2"/>
                <w:sz w:val="24"/>
                <w:szCs w:val="24"/>
                <w:lang w:val="en-US" w:eastAsia="zh-CN" w:bidi="ar-SA"/>
              </w:rPr>
              <w:t>有高水平的师资队伍，不断加强师资队伍和基层教学组织建设，教育教学研究活动广泛开展，专业教学团队结构合理、整体素质水平高。</w:t>
            </w:r>
          </w:p>
        </w:tc>
        <w:tc>
          <w:tcPr>
            <w:tcW w:w="6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6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方正小标宋简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培养质量一流</w:t>
            </w:r>
          </w:p>
        </w:tc>
        <w:tc>
          <w:tcPr>
            <w:tcW w:w="37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480" w:firstLineChars="200"/>
              <w:jc w:val="left"/>
              <w:textAlignment w:val="auto"/>
              <w:rPr>
                <w:rFonts w:hint="eastAsia" w:ascii="宋体" w:hAnsi="宋体" w:eastAsia="宋体" w:cs="方正小标宋简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方正小标宋简体"/>
                <w:color w:val="000000"/>
                <w:kern w:val="2"/>
                <w:sz w:val="24"/>
                <w:szCs w:val="24"/>
                <w:lang w:val="en-US" w:eastAsia="zh-CN" w:bidi="ar-SA"/>
              </w:rPr>
              <w:t>坚持以学生为中心，促进学生全面发展，有效激发学生学习兴趣和潜能，增强创新精神、实践能力和社会责任感，毕业生行业认可度高、社会整体评价好。</w:t>
            </w:r>
          </w:p>
        </w:tc>
        <w:tc>
          <w:tcPr>
            <w:tcW w:w="6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6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 w:cs="方正小标宋简体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方正小标宋简体"/>
                <w:b/>
                <w:bCs/>
                <w:color w:val="000000"/>
                <w:sz w:val="24"/>
                <w:szCs w:val="24"/>
                <w:lang w:eastAsia="zh-CN"/>
              </w:rPr>
              <w:t>总体评价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 w:cs="方正小标宋简体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方正小标宋简体"/>
                <w:b/>
                <w:bCs/>
                <w:color w:val="000000"/>
                <w:sz w:val="24"/>
                <w:szCs w:val="24"/>
                <w:lang w:eastAsia="zh-CN"/>
              </w:rPr>
              <w:t>及建议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 w:cs="方正小标宋简体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843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 w:cs="方正小标宋简体"/>
                <w:color w:val="000000"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both"/>
        <w:textAlignment w:val="auto"/>
        <w:rPr>
          <w:rFonts w:hint="default" w:ascii="仿宋_GB2312" w:hAnsi="仿宋" w:eastAsia="仿宋_GB2312" w:cs="Arial"/>
          <w:b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Arial"/>
          <w:b/>
          <w:bCs w:val="0"/>
          <w:color w:val="000000"/>
          <w:kern w:val="0"/>
          <w:sz w:val="32"/>
          <w:szCs w:val="32"/>
          <w:lang w:val="en-US" w:eastAsia="zh-CN"/>
        </w:rPr>
        <w:t>专家签字：                   日期：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5B4026"/>
    <w:rsid w:val="4D5B4026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2019-05-29T02:18:00Z</dcterms:created>
  <dc:creator>二胡的弦</dc:creator>
  <cp:lastModifiedBy>二胡的弦</cp:lastModifiedBy>
  <dcterms:modified xsi:type="dcterms:W3CDTF">2019-05-29T02:18:42Z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