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 w:hAnsi="仿宋" w:eastAsia="仿宋" w:cs="仿宋_GB2312"/>
          <w:color w:val="191919" w:themeColor="background1" w:themeShade="1A"/>
          <w:kern w:val="0"/>
          <w:sz w:val="32"/>
          <w:szCs w:val="32"/>
        </w:rPr>
      </w:pPr>
      <w:r>
        <w:rPr>
          <w:rFonts w:hint="eastAsia" w:ascii="仿宋" w:hAnsi="仿宋" w:eastAsia="仿宋" w:cs="仿宋_GB2312"/>
          <w:color w:val="191919" w:themeColor="background1" w:themeShade="1A"/>
          <w:kern w:val="0"/>
          <w:sz w:val="32"/>
          <w:szCs w:val="32"/>
        </w:rPr>
        <w:t>附件1：</w:t>
      </w:r>
    </w:p>
    <w:p>
      <w:pPr>
        <w:spacing w:line="560" w:lineRule="exact"/>
        <w:jc w:val="center"/>
        <w:rPr>
          <w:rFonts w:ascii="仿宋" w:hAnsi="仿宋" w:eastAsia="仿宋" w:cs="方正小标宋简体"/>
          <w:b/>
          <w:color w:val="191919" w:themeColor="background1" w:themeShade="1A"/>
          <w:kern w:val="0"/>
          <w:sz w:val="36"/>
          <w:szCs w:val="36"/>
        </w:rPr>
      </w:pPr>
      <w:r>
        <w:rPr>
          <w:rFonts w:hint="eastAsia" w:ascii="仿宋" w:hAnsi="仿宋" w:eastAsia="仿宋" w:cs="方正小标宋简体"/>
          <w:b/>
          <w:color w:val="191919" w:themeColor="background1" w:themeShade="1A"/>
          <w:kern w:val="0"/>
          <w:sz w:val="36"/>
          <w:szCs w:val="36"/>
        </w:rPr>
        <w:t>教务处</w:t>
      </w:r>
      <w:r>
        <w:rPr>
          <w:rFonts w:ascii="仿宋" w:hAnsi="仿宋" w:eastAsia="仿宋" w:cs="方正小标宋简体"/>
          <w:b/>
          <w:color w:val="191919" w:themeColor="background1" w:themeShade="1A"/>
          <w:kern w:val="0"/>
          <w:sz w:val="36"/>
          <w:szCs w:val="36"/>
        </w:rPr>
        <w:t>2019</w:t>
      </w:r>
      <w:r>
        <w:rPr>
          <w:rFonts w:hint="eastAsia" w:ascii="仿宋" w:hAnsi="仿宋" w:eastAsia="仿宋" w:cs="方正小标宋简体"/>
          <w:b/>
          <w:color w:val="191919" w:themeColor="background1" w:themeShade="1A"/>
          <w:kern w:val="0"/>
          <w:sz w:val="36"/>
          <w:szCs w:val="36"/>
        </w:rPr>
        <w:t>年</w:t>
      </w:r>
      <w:bookmarkStart w:id="0" w:name="_GoBack"/>
      <w:bookmarkEnd w:id="0"/>
      <w:r>
        <w:rPr>
          <w:rFonts w:hint="eastAsia" w:ascii="仿宋" w:hAnsi="仿宋" w:eastAsia="仿宋" w:cs="方正小标宋简体"/>
          <w:b/>
          <w:color w:val="191919" w:themeColor="background1" w:themeShade="1A"/>
          <w:kern w:val="0"/>
          <w:sz w:val="36"/>
          <w:szCs w:val="36"/>
        </w:rPr>
        <w:t>工作要点</w:t>
      </w:r>
    </w:p>
    <w:p>
      <w:pPr>
        <w:spacing w:line="560" w:lineRule="exact"/>
        <w:ind w:firstLine="720" w:firstLineChars="200"/>
        <w:jc w:val="center"/>
        <w:rPr>
          <w:rFonts w:ascii="仿宋" w:hAnsi="仿宋" w:eastAsia="仿宋" w:cs="方正小标宋简体"/>
          <w:color w:val="191919" w:themeColor="background1" w:themeShade="1A"/>
          <w:kern w:val="0"/>
          <w:sz w:val="36"/>
          <w:szCs w:val="36"/>
        </w:rPr>
      </w:pPr>
    </w:p>
    <w:p>
      <w:pPr>
        <w:spacing w:line="560" w:lineRule="exact"/>
        <w:ind w:firstLine="640" w:firstLineChars="200"/>
        <w:rPr>
          <w:rFonts w:ascii="仿宋" w:hAnsi="仿宋" w:eastAsia="仿宋" w:cs="仿宋_GB2312"/>
          <w:color w:val="191919" w:themeColor="background1" w:themeShade="1A"/>
          <w:kern w:val="0"/>
          <w:sz w:val="32"/>
          <w:szCs w:val="32"/>
        </w:rPr>
      </w:pPr>
      <w:r>
        <w:rPr>
          <w:rFonts w:hint="eastAsia" w:ascii="仿宋" w:hAnsi="仿宋" w:eastAsia="仿宋" w:cs="仿宋_GB2312"/>
          <w:color w:val="191919" w:themeColor="background1" w:themeShade="1A"/>
          <w:kern w:val="0"/>
          <w:sz w:val="32"/>
          <w:szCs w:val="32"/>
        </w:rPr>
        <w:t>根据《青海大学</w:t>
      </w:r>
      <w:r>
        <w:rPr>
          <w:rFonts w:ascii="仿宋" w:hAnsi="仿宋" w:eastAsia="仿宋" w:cs="仿宋_GB2312"/>
          <w:color w:val="191919" w:themeColor="background1" w:themeShade="1A"/>
          <w:kern w:val="0"/>
          <w:sz w:val="32"/>
          <w:szCs w:val="32"/>
        </w:rPr>
        <w:t>2019</w:t>
      </w:r>
      <w:r>
        <w:rPr>
          <w:rFonts w:hint="eastAsia" w:ascii="仿宋" w:hAnsi="仿宋" w:eastAsia="仿宋" w:cs="仿宋_GB2312"/>
          <w:color w:val="191919" w:themeColor="background1" w:themeShade="1A"/>
          <w:kern w:val="0"/>
          <w:sz w:val="32"/>
          <w:szCs w:val="32"/>
        </w:rPr>
        <w:t>年工作要点》，教务处以落实本科教学工作审核评估整改工作、省委巡视整改工作为主线，</w:t>
      </w:r>
      <w:r>
        <w:rPr>
          <w:rFonts w:hint="eastAsia" w:ascii="仿宋" w:hAnsi="仿宋" w:eastAsia="仿宋" w:cs="仿宋_GB2312"/>
          <w:bCs/>
          <w:color w:val="191919" w:themeColor="background1" w:themeShade="1A"/>
          <w:sz w:val="32"/>
          <w:szCs w:val="32"/>
        </w:rPr>
        <w:t>全面贯彻落实</w:t>
      </w:r>
      <w:r>
        <w:rPr>
          <w:rFonts w:hint="eastAsia" w:ascii="仿宋" w:hAnsi="仿宋" w:eastAsia="仿宋" w:cs="仿宋_GB2312"/>
          <w:color w:val="191919" w:themeColor="background1" w:themeShade="1A"/>
          <w:kern w:val="0"/>
          <w:sz w:val="32"/>
          <w:szCs w:val="32"/>
        </w:rPr>
        <w:t>新时代全国高等学校本科教育工作会议、全国教育大会和全省教育大会精神，以立德树人为根本，不断巩固本科教学中心地位，进一步加强教学内涵建设，深化教育教学改革，强化教学管理，不断提高人才培养质量。</w:t>
      </w:r>
    </w:p>
    <w:p>
      <w:pPr>
        <w:numPr>
          <w:ilvl w:val="0"/>
          <w:numId w:val="1"/>
        </w:numPr>
        <w:spacing w:line="560" w:lineRule="exact"/>
        <w:ind w:firstLine="643" w:firstLineChars="200"/>
        <w:rPr>
          <w:rFonts w:ascii="仿宋" w:hAnsi="仿宋" w:eastAsia="仿宋" w:cs="仿宋_GB2312"/>
          <w:bCs/>
          <w:color w:val="191919" w:themeColor="background1" w:themeShade="1A"/>
          <w:sz w:val="32"/>
          <w:szCs w:val="32"/>
        </w:rPr>
      </w:pPr>
      <w:r>
        <w:rPr>
          <w:rFonts w:hint="eastAsia" w:ascii="仿宋" w:hAnsi="仿宋" w:eastAsia="仿宋" w:cs="仿宋_GB2312"/>
          <w:b/>
          <w:bCs/>
          <w:color w:val="191919" w:themeColor="background1" w:themeShade="1A"/>
          <w:kern w:val="0"/>
          <w:sz w:val="32"/>
          <w:szCs w:val="32"/>
        </w:rPr>
        <w:t>抓好学习教育工作，强化队伍建设</w:t>
      </w:r>
    </w:p>
    <w:p>
      <w:pPr>
        <w:spacing w:line="560" w:lineRule="exact"/>
        <w:ind w:firstLine="640" w:firstLineChars="200"/>
        <w:rPr>
          <w:rFonts w:ascii="仿宋" w:hAnsi="仿宋" w:eastAsia="仿宋" w:cs="仿宋_GB2312"/>
          <w:bCs/>
          <w:color w:val="191919" w:themeColor="background1" w:themeShade="1A"/>
          <w:sz w:val="32"/>
          <w:szCs w:val="32"/>
        </w:rPr>
      </w:pPr>
      <w:r>
        <w:rPr>
          <w:rFonts w:hint="eastAsia" w:ascii="仿宋" w:hAnsi="仿宋" w:eastAsia="仿宋" w:cs="仿宋_GB2312"/>
          <w:color w:val="191919" w:themeColor="background1" w:themeShade="1A"/>
          <w:kern w:val="0"/>
          <w:sz w:val="32"/>
          <w:szCs w:val="32"/>
        </w:rPr>
        <w:t>1.</w:t>
      </w:r>
      <w:r>
        <w:rPr>
          <w:rFonts w:hint="eastAsia" w:ascii="仿宋" w:hAnsi="仿宋" w:eastAsia="仿宋" w:cs="仿宋_GB2312"/>
          <w:bCs/>
          <w:color w:val="191919" w:themeColor="background1" w:themeShade="1A"/>
          <w:sz w:val="32"/>
          <w:szCs w:val="32"/>
        </w:rPr>
        <w:t>把学习贯彻党的十九大和习近平总书记重要讲话精神作为首要政治任务，创新学习方法，采取集中与自学相结合方式，认真落实“双周三”学习制度和“学习强国”学习平台学习任务，使习近平新时代中国特色社会主义思想、全国教育大会精神内化于心、外化于行；扎实开展“三会一课”及主题党日教育活动，结合工作实际与思想实际深入开展交流研讨，形成良好学风建设的基础，实现学习的全覆盖；严控廉政风险点，层层签订廉政承诺书，营造风清气正的政治生态，努力打造一支勤学习、善工作、勇创新、求实效的高素质团队。</w:t>
      </w:r>
    </w:p>
    <w:p>
      <w:pPr>
        <w:numPr>
          <w:ilvl w:val="0"/>
          <w:numId w:val="1"/>
        </w:numPr>
        <w:spacing w:line="560" w:lineRule="exact"/>
        <w:ind w:left="218" w:leftChars="104" w:firstLine="421" w:firstLineChars="131"/>
        <w:rPr>
          <w:rFonts w:ascii="仿宋" w:hAnsi="仿宋" w:eastAsia="仿宋" w:cs="仿宋_GB2312"/>
          <w:b/>
          <w:color w:val="191919" w:themeColor="background1" w:themeShade="1A"/>
          <w:sz w:val="32"/>
          <w:szCs w:val="32"/>
        </w:rPr>
      </w:pPr>
      <w:r>
        <w:rPr>
          <w:rFonts w:hint="eastAsia" w:ascii="仿宋" w:hAnsi="仿宋" w:eastAsia="仿宋" w:cs="仿宋_GB2312"/>
          <w:b/>
          <w:color w:val="191919" w:themeColor="background1" w:themeShade="1A"/>
          <w:sz w:val="32"/>
          <w:szCs w:val="32"/>
        </w:rPr>
        <w:t>抓好整改落实工作，着力推进各项任务</w:t>
      </w:r>
    </w:p>
    <w:p>
      <w:pPr>
        <w:adjustRightInd w:val="0"/>
        <w:snapToGrid w:val="0"/>
        <w:spacing w:line="560" w:lineRule="exact"/>
        <w:ind w:firstLine="640" w:firstLineChars="200"/>
        <w:rPr>
          <w:rFonts w:ascii="仿宋" w:hAnsi="仿宋" w:eastAsia="仿宋" w:cs="仿宋_GB2312"/>
          <w:color w:val="191919" w:themeColor="background1" w:themeShade="1A"/>
          <w:kern w:val="0"/>
          <w:sz w:val="32"/>
          <w:szCs w:val="32"/>
        </w:rPr>
      </w:pPr>
      <w:r>
        <w:rPr>
          <w:rFonts w:hint="eastAsia" w:ascii="仿宋" w:hAnsi="仿宋" w:eastAsia="仿宋" w:cs="仿宋_GB2312"/>
          <w:color w:val="191919" w:themeColor="background1" w:themeShade="1A"/>
          <w:kern w:val="0"/>
          <w:sz w:val="32"/>
          <w:szCs w:val="32"/>
        </w:rPr>
        <w:t>2.认真贯彻落实全国、全省教育大会精神和新时代全国高等学校本科教学工作会议精神，</w:t>
      </w:r>
      <w:r>
        <w:rPr>
          <w:rFonts w:ascii="仿宋" w:hAnsi="仿宋" w:eastAsia="仿宋" w:cs="仿宋_GB2312"/>
          <w:color w:val="191919" w:themeColor="background1" w:themeShade="1A"/>
          <w:kern w:val="0"/>
          <w:sz w:val="32"/>
          <w:szCs w:val="32"/>
        </w:rPr>
        <w:t>坚持立德树人根本任务，高度重视</w:t>
      </w:r>
      <w:r>
        <w:rPr>
          <w:rFonts w:hint="eastAsia" w:ascii="仿宋" w:hAnsi="仿宋" w:eastAsia="仿宋" w:cs="仿宋_GB2312"/>
          <w:color w:val="191919" w:themeColor="background1" w:themeShade="1A"/>
          <w:kern w:val="0"/>
          <w:sz w:val="32"/>
          <w:szCs w:val="32"/>
        </w:rPr>
        <w:t>本科教学工作审核评估整改、省委巡视整改工作。依据《青海大学本科教学工作审核评估整改工作方案》定期召开本科审核评估整改工作推进会。坚持问题目标导向</w:t>
      </w:r>
      <w:r>
        <w:rPr>
          <w:rFonts w:ascii="仿宋" w:hAnsi="仿宋" w:eastAsia="仿宋" w:cs="仿宋_GB2312"/>
          <w:color w:val="191919" w:themeColor="background1" w:themeShade="1A"/>
          <w:kern w:val="0"/>
          <w:sz w:val="32"/>
          <w:szCs w:val="32"/>
        </w:rPr>
        <w:t>，</w:t>
      </w:r>
      <w:r>
        <w:rPr>
          <w:rFonts w:hint="eastAsia" w:ascii="仿宋" w:hAnsi="仿宋" w:eastAsia="仿宋" w:cs="仿宋_GB2312"/>
          <w:color w:val="191919" w:themeColor="background1" w:themeShade="1A"/>
          <w:kern w:val="0"/>
          <w:sz w:val="32"/>
          <w:szCs w:val="32"/>
        </w:rPr>
        <w:t>对照短板不足</w:t>
      </w:r>
      <w:r>
        <w:rPr>
          <w:rFonts w:ascii="仿宋" w:hAnsi="仿宋" w:eastAsia="仿宋" w:cs="仿宋_GB2312"/>
          <w:color w:val="191919" w:themeColor="background1" w:themeShade="1A"/>
          <w:kern w:val="0"/>
          <w:sz w:val="32"/>
          <w:szCs w:val="32"/>
        </w:rPr>
        <w:t>，</w:t>
      </w:r>
      <w:r>
        <w:rPr>
          <w:rFonts w:hint="eastAsia" w:ascii="仿宋" w:hAnsi="仿宋" w:eastAsia="仿宋" w:cs="仿宋_GB2312"/>
          <w:color w:val="191919" w:themeColor="background1" w:themeShade="1A"/>
          <w:kern w:val="0"/>
          <w:sz w:val="32"/>
          <w:szCs w:val="32"/>
        </w:rPr>
        <w:t>细化</w:t>
      </w:r>
      <w:r>
        <w:rPr>
          <w:rFonts w:ascii="仿宋" w:hAnsi="仿宋" w:eastAsia="仿宋" w:cs="仿宋_GB2312"/>
          <w:color w:val="191919" w:themeColor="background1" w:themeShade="1A"/>
          <w:kern w:val="0"/>
          <w:sz w:val="32"/>
          <w:szCs w:val="32"/>
        </w:rPr>
        <w:t>任务</w:t>
      </w:r>
      <w:r>
        <w:rPr>
          <w:rFonts w:hint="eastAsia" w:ascii="仿宋" w:hAnsi="仿宋" w:eastAsia="仿宋" w:cs="仿宋_GB2312"/>
          <w:color w:val="191919" w:themeColor="background1" w:themeShade="1A"/>
          <w:kern w:val="0"/>
          <w:sz w:val="32"/>
          <w:szCs w:val="32"/>
        </w:rPr>
        <w:t>台账，</w:t>
      </w:r>
      <w:r>
        <w:rPr>
          <w:rFonts w:ascii="仿宋" w:hAnsi="仿宋" w:eastAsia="仿宋" w:cs="仿宋_GB2312"/>
          <w:color w:val="191919" w:themeColor="background1" w:themeShade="1A"/>
          <w:kern w:val="0"/>
          <w:sz w:val="32"/>
          <w:szCs w:val="32"/>
        </w:rPr>
        <w:t>压实责任</w:t>
      </w:r>
      <w:r>
        <w:rPr>
          <w:rFonts w:hint="eastAsia" w:ascii="仿宋" w:hAnsi="仿宋" w:eastAsia="仿宋" w:cs="仿宋_GB2312"/>
          <w:color w:val="191919" w:themeColor="background1" w:themeShade="1A"/>
          <w:kern w:val="0"/>
          <w:sz w:val="32"/>
          <w:szCs w:val="32"/>
        </w:rPr>
        <w:t>担当、扎实推进整改，形成整改工作报告</w:t>
      </w:r>
      <w:r>
        <w:rPr>
          <w:rFonts w:ascii="仿宋" w:hAnsi="仿宋" w:eastAsia="仿宋" w:cs="仿宋_GB2312"/>
          <w:color w:val="191919" w:themeColor="background1" w:themeShade="1A"/>
          <w:kern w:val="0"/>
          <w:sz w:val="32"/>
          <w:szCs w:val="32"/>
        </w:rPr>
        <w:t>，</w:t>
      </w:r>
      <w:r>
        <w:rPr>
          <w:rFonts w:hint="eastAsia" w:ascii="仿宋" w:hAnsi="仿宋" w:eastAsia="仿宋" w:cs="仿宋_GB2312"/>
          <w:color w:val="191919" w:themeColor="background1" w:themeShade="1A"/>
          <w:kern w:val="0"/>
          <w:sz w:val="32"/>
          <w:szCs w:val="32"/>
        </w:rPr>
        <w:t>做到整改任务</w:t>
      </w:r>
      <w:r>
        <w:rPr>
          <w:rFonts w:ascii="仿宋" w:hAnsi="仿宋" w:eastAsia="仿宋" w:cs="仿宋_GB2312"/>
          <w:color w:val="191919" w:themeColor="background1" w:themeShade="1A"/>
          <w:kern w:val="0"/>
          <w:sz w:val="32"/>
          <w:szCs w:val="32"/>
        </w:rPr>
        <w:t>无</w:t>
      </w:r>
      <w:r>
        <w:rPr>
          <w:rFonts w:hint="eastAsia" w:ascii="仿宋" w:hAnsi="仿宋" w:eastAsia="仿宋" w:cs="仿宋_GB2312"/>
          <w:color w:val="191919" w:themeColor="background1" w:themeShade="1A"/>
          <w:kern w:val="0"/>
          <w:sz w:val="32"/>
          <w:szCs w:val="32"/>
        </w:rPr>
        <w:t>空隙</w:t>
      </w:r>
      <w:r>
        <w:rPr>
          <w:rFonts w:ascii="仿宋" w:hAnsi="仿宋" w:eastAsia="仿宋" w:cs="仿宋_GB2312"/>
          <w:color w:val="191919" w:themeColor="background1" w:themeShade="1A"/>
          <w:kern w:val="0"/>
          <w:sz w:val="32"/>
          <w:szCs w:val="32"/>
        </w:rPr>
        <w:t>、无漏洞，</w:t>
      </w:r>
      <w:r>
        <w:rPr>
          <w:rFonts w:hint="eastAsia" w:ascii="仿宋" w:hAnsi="仿宋" w:eastAsia="仿宋" w:cs="仿宋_GB2312"/>
          <w:color w:val="191919" w:themeColor="background1" w:themeShade="1A"/>
          <w:kern w:val="0"/>
          <w:sz w:val="32"/>
          <w:szCs w:val="32"/>
        </w:rPr>
        <w:t>确保</w:t>
      </w:r>
      <w:r>
        <w:rPr>
          <w:rFonts w:ascii="仿宋" w:hAnsi="仿宋" w:eastAsia="仿宋" w:cs="仿宋_GB2312"/>
          <w:color w:val="191919" w:themeColor="background1" w:themeShade="1A"/>
          <w:kern w:val="0"/>
          <w:sz w:val="32"/>
          <w:szCs w:val="32"/>
        </w:rPr>
        <w:t>整改</w:t>
      </w:r>
      <w:r>
        <w:rPr>
          <w:rFonts w:hint="eastAsia" w:ascii="仿宋" w:hAnsi="仿宋" w:eastAsia="仿宋" w:cs="仿宋_GB2312"/>
          <w:color w:val="191919" w:themeColor="background1" w:themeShade="1A"/>
          <w:kern w:val="0"/>
          <w:sz w:val="32"/>
          <w:szCs w:val="32"/>
        </w:rPr>
        <w:t>工作圆满完成</w:t>
      </w:r>
      <w:r>
        <w:rPr>
          <w:rFonts w:ascii="仿宋" w:hAnsi="仿宋" w:eastAsia="仿宋" w:cs="仿宋_GB2312"/>
          <w:color w:val="191919" w:themeColor="background1" w:themeShade="1A"/>
          <w:kern w:val="0"/>
          <w:sz w:val="32"/>
          <w:szCs w:val="32"/>
        </w:rPr>
        <w:t>。</w:t>
      </w:r>
    </w:p>
    <w:p>
      <w:pPr>
        <w:adjustRightInd w:val="0"/>
        <w:snapToGrid w:val="0"/>
        <w:spacing w:line="560" w:lineRule="exact"/>
        <w:ind w:firstLine="640" w:firstLineChars="200"/>
        <w:rPr>
          <w:rFonts w:ascii="仿宋" w:hAnsi="仿宋" w:eastAsia="仿宋" w:cs="仿宋_GB2312"/>
          <w:color w:val="191919" w:themeColor="background1" w:themeShade="1A"/>
          <w:kern w:val="0"/>
          <w:sz w:val="32"/>
          <w:szCs w:val="32"/>
        </w:rPr>
      </w:pPr>
      <w:r>
        <w:rPr>
          <w:rFonts w:hint="eastAsia" w:ascii="仿宋" w:hAnsi="仿宋" w:eastAsia="仿宋" w:cs="仿宋_GB2312"/>
          <w:color w:val="191919" w:themeColor="background1" w:themeShade="1A"/>
          <w:kern w:val="0"/>
          <w:sz w:val="32"/>
          <w:szCs w:val="32"/>
        </w:rPr>
        <w:t>3.</w:t>
      </w:r>
      <w:r>
        <w:rPr>
          <w:rFonts w:hint="eastAsia" w:ascii="仿宋" w:hAnsi="仿宋" w:eastAsia="仿宋" w:cs="仿宋_GB2312"/>
          <w:color w:val="191919" w:themeColor="background1" w:themeShade="1A"/>
          <w:sz w:val="32"/>
          <w:szCs w:val="32"/>
        </w:rPr>
        <w:t>按照《青海大学临床医学专业认证前期考察整改方案》的要求，细化临床医学专业认证工作实施方案，构建“以学生为中心”的人才培养模式，深化课程整合，改革教学方法与考核方法，健全教学质量保证体系和运行机制，提高临床医学专业建设水平和人才培养质量，切实将整改工作落到实处，取得成效，</w:t>
      </w:r>
      <w:r>
        <w:rPr>
          <w:rFonts w:hint="eastAsia" w:ascii="仿宋" w:hAnsi="仿宋" w:eastAsia="仿宋" w:cs="仿宋_GB2312"/>
          <w:color w:val="191919" w:themeColor="background1" w:themeShade="1A"/>
          <w:kern w:val="0"/>
          <w:sz w:val="32"/>
          <w:szCs w:val="32"/>
        </w:rPr>
        <w:t>确保我校临床医学专业顺利通过教育部专业认证。</w:t>
      </w:r>
    </w:p>
    <w:p>
      <w:pPr>
        <w:adjustRightInd w:val="0"/>
        <w:snapToGrid w:val="0"/>
        <w:spacing w:line="560" w:lineRule="exact"/>
        <w:ind w:firstLine="643" w:firstLineChars="200"/>
        <w:rPr>
          <w:rFonts w:ascii="仿宋" w:hAnsi="仿宋" w:eastAsia="仿宋" w:cs="仿宋_GB2312"/>
          <w:b/>
          <w:color w:val="191919" w:themeColor="background1" w:themeShade="1A"/>
          <w:kern w:val="0"/>
          <w:sz w:val="32"/>
          <w:szCs w:val="32"/>
        </w:rPr>
      </w:pPr>
      <w:r>
        <w:rPr>
          <w:rFonts w:hint="eastAsia" w:ascii="仿宋" w:hAnsi="仿宋" w:eastAsia="仿宋" w:cs="仿宋_GB2312"/>
          <w:b/>
          <w:bCs/>
          <w:color w:val="191919" w:themeColor="background1" w:themeShade="1A"/>
          <w:sz w:val="32"/>
          <w:szCs w:val="32"/>
        </w:rPr>
        <w:t>三、</w:t>
      </w:r>
      <w:r>
        <w:rPr>
          <w:rFonts w:hint="eastAsia" w:ascii="仿宋" w:hAnsi="仿宋" w:eastAsia="仿宋" w:cs="仿宋_GB2312"/>
          <w:b/>
          <w:color w:val="191919" w:themeColor="background1" w:themeShade="1A"/>
          <w:kern w:val="0"/>
          <w:sz w:val="32"/>
          <w:szCs w:val="32"/>
        </w:rPr>
        <w:t>抓好专业建设工作，</w:t>
      </w:r>
      <w:r>
        <w:rPr>
          <w:rFonts w:hint="eastAsia" w:ascii="仿宋" w:hAnsi="仿宋" w:eastAsia="仿宋" w:cs="仿宋_GB2312"/>
          <w:b/>
          <w:bCs/>
          <w:color w:val="191919" w:themeColor="background1" w:themeShade="1A"/>
          <w:sz w:val="32"/>
          <w:szCs w:val="32"/>
        </w:rPr>
        <w:t>加大优势专业培养力度</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4</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紧紧围绕青海省“一优两高”战略目标，根据国家一流专业建设遴选与建设计划，做好青海大学“一流专业”建设申报工作，充分利用两级财政经费，从硬件条件（专业实验室、教学实践基地）和软件条件（师资、课程、实习等）全方位支持高质量的专业内涵建设，储备冲击省级和国家级一流专业建设点；进一步优化调整专业结构，持续推进大类招生，完善专业预警机制。</w:t>
      </w:r>
    </w:p>
    <w:p>
      <w:pPr>
        <w:spacing w:line="560" w:lineRule="exact"/>
        <w:ind w:firstLine="640" w:firstLineChars="200"/>
        <w:rPr>
          <w:rFonts w:ascii="仿宋" w:hAnsi="仿宋" w:eastAsia="仿宋"/>
          <w:color w:val="191919" w:themeColor="background1" w:themeShade="1A"/>
          <w:sz w:val="30"/>
          <w:szCs w:val="30"/>
        </w:rPr>
      </w:pPr>
      <w:r>
        <w:rPr>
          <w:rFonts w:hint="eastAsia" w:ascii="仿宋" w:hAnsi="仿宋" w:eastAsia="仿宋" w:cs="仿宋_GB2312"/>
          <w:color w:val="191919" w:themeColor="background1" w:themeShade="1A"/>
          <w:sz w:val="32"/>
          <w:szCs w:val="32"/>
        </w:rPr>
        <w:t>5.持续深化教育教学改革，加快推进“六卓越一拔尖”计划2.0各项任务的落实；加强专业建设，积极推进专业认证工作，加快提升专业建设质量，全面提高专业办学活力。</w:t>
      </w:r>
    </w:p>
    <w:p>
      <w:pPr>
        <w:spacing w:line="560" w:lineRule="exact"/>
        <w:ind w:firstLine="643" w:firstLineChars="200"/>
        <w:rPr>
          <w:rFonts w:ascii="仿宋" w:hAnsi="仿宋" w:eastAsia="仿宋" w:cs="仿宋_GB2312"/>
          <w:b/>
          <w:bCs/>
          <w:color w:val="191919" w:themeColor="background1" w:themeShade="1A"/>
          <w:sz w:val="32"/>
          <w:szCs w:val="32"/>
        </w:rPr>
      </w:pPr>
      <w:r>
        <w:rPr>
          <w:rFonts w:hint="eastAsia" w:ascii="仿宋" w:hAnsi="仿宋" w:eastAsia="仿宋" w:cs="仿宋_GB2312"/>
          <w:b/>
          <w:bCs/>
          <w:color w:val="191919" w:themeColor="background1" w:themeShade="1A"/>
          <w:sz w:val="32"/>
          <w:szCs w:val="32"/>
        </w:rPr>
        <w:t>四、抓好培养方案修订工作，推进各项制度落地</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6</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依据《青海大学关于深化教育教学改革</w:t>
      </w:r>
      <w:r>
        <w:rPr>
          <w:rFonts w:ascii="仿宋" w:hAnsi="仿宋" w:eastAsia="仿宋" w:cs="仿宋_GB2312"/>
          <w:color w:val="191919" w:themeColor="background1" w:themeShade="1A"/>
          <w:sz w:val="32"/>
          <w:szCs w:val="32"/>
        </w:rPr>
        <w:t xml:space="preserve"> </w:t>
      </w:r>
      <w:r>
        <w:rPr>
          <w:rFonts w:hint="eastAsia" w:ascii="仿宋" w:hAnsi="仿宋" w:eastAsia="仿宋" w:cs="仿宋_GB2312"/>
          <w:color w:val="191919" w:themeColor="background1" w:themeShade="1A"/>
          <w:sz w:val="32"/>
          <w:szCs w:val="32"/>
        </w:rPr>
        <w:t>打造一流本科教育的实施意见》，细化年度目标、工作任务责任部门，全面推进学校一流本科教育。</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7</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对标《普通高等学校本科专业类教学质量标准》《工程教育专业认证标准》等，精准定位本科专业人才培养目标，制定《青海大学本科专业教学质量标准》；下发《青海大学关于修订</w:t>
      </w:r>
      <w:r>
        <w:rPr>
          <w:rFonts w:ascii="仿宋" w:hAnsi="仿宋" w:eastAsia="仿宋" w:cs="仿宋_GB2312"/>
          <w:color w:val="191919" w:themeColor="background1" w:themeShade="1A"/>
          <w:sz w:val="32"/>
          <w:szCs w:val="32"/>
        </w:rPr>
        <w:t>2019</w:t>
      </w:r>
      <w:r>
        <w:rPr>
          <w:rFonts w:hint="eastAsia" w:ascii="仿宋" w:hAnsi="仿宋" w:eastAsia="仿宋" w:cs="仿宋_GB2312"/>
          <w:color w:val="191919" w:themeColor="background1" w:themeShade="1A"/>
          <w:sz w:val="32"/>
          <w:szCs w:val="32"/>
        </w:rPr>
        <w:t>版本科人才培养方案的指导性意见》，以“能力矩阵”“课程导图”优化课程体系，强化通识教育，进一步落实院系主体责任，高质量完成新版本科人才培养方案的修订工作。</w:t>
      </w:r>
    </w:p>
    <w:p>
      <w:pPr>
        <w:spacing w:line="560" w:lineRule="exact"/>
        <w:ind w:firstLine="643" w:firstLineChars="200"/>
        <w:rPr>
          <w:rFonts w:ascii="仿宋" w:hAnsi="仿宋" w:eastAsia="仿宋" w:cs="仿宋_GB2312"/>
          <w:b/>
          <w:bCs/>
          <w:color w:val="191919" w:themeColor="background1" w:themeShade="1A"/>
          <w:sz w:val="32"/>
          <w:szCs w:val="32"/>
        </w:rPr>
      </w:pPr>
      <w:r>
        <w:rPr>
          <w:rFonts w:hint="eastAsia" w:ascii="仿宋" w:hAnsi="仿宋" w:eastAsia="仿宋" w:cs="仿宋_GB2312"/>
          <w:b/>
          <w:bCs/>
          <w:color w:val="191919" w:themeColor="background1" w:themeShade="1A"/>
          <w:sz w:val="32"/>
          <w:szCs w:val="32"/>
        </w:rPr>
        <w:t>五、抓好课程</w:t>
      </w:r>
      <w:r>
        <w:rPr>
          <w:rFonts w:ascii="仿宋" w:hAnsi="仿宋" w:eastAsia="仿宋" w:cs="仿宋_GB2312"/>
          <w:b/>
          <w:bCs/>
          <w:color w:val="191919" w:themeColor="background1" w:themeShade="1A"/>
          <w:sz w:val="32"/>
          <w:szCs w:val="32"/>
        </w:rPr>
        <w:t>建设</w:t>
      </w:r>
      <w:r>
        <w:rPr>
          <w:rFonts w:hint="eastAsia" w:ascii="仿宋" w:hAnsi="仿宋" w:eastAsia="仿宋" w:cs="仿宋_GB2312"/>
          <w:b/>
          <w:bCs/>
          <w:color w:val="191919" w:themeColor="background1" w:themeShade="1A"/>
          <w:sz w:val="32"/>
          <w:szCs w:val="32"/>
        </w:rPr>
        <w:t>工作</w:t>
      </w:r>
      <w:r>
        <w:rPr>
          <w:rFonts w:ascii="仿宋" w:hAnsi="仿宋" w:eastAsia="仿宋" w:cs="仿宋_GB2312"/>
          <w:b/>
          <w:bCs/>
          <w:color w:val="191919" w:themeColor="background1" w:themeShade="1A"/>
          <w:sz w:val="32"/>
          <w:szCs w:val="32"/>
        </w:rPr>
        <w:t>,</w:t>
      </w:r>
      <w:r>
        <w:rPr>
          <w:rFonts w:hint="eastAsia" w:ascii="仿宋" w:hAnsi="仿宋" w:eastAsia="仿宋" w:cs="仿宋_GB2312"/>
          <w:b/>
          <w:bCs/>
          <w:color w:val="191919" w:themeColor="background1" w:themeShade="1A"/>
          <w:sz w:val="32"/>
          <w:szCs w:val="32"/>
        </w:rPr>
        <w:t>强化课堂</w:t>
      </w:r>
      <w:r>
        <w:rPr>
          <w:rFonts w:ascii="仿宋" w:hAnsi="仿宋" w:eastAsia="仿宋" w:cs="仿宋_GB2312"/>
          <w:b/>
          <w:bCs/>
          <w:color w:val="191919" w:themeColor="background1" w:themeShade="1A"/>
          <w:sz w:val="32"/>
          <w:szCs w:val="32"/>
        </w:rPr>
        <w:t>教学质量</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8.充分发挥课堂教学在人才培养过程中的主渠道和主阵地作用，做好青海大学第二届“课程思政”教学竞赛活动，立项建设20门“课程思政”示范课，逐步扩大“课程思政”覆盖面，力争把思政课打造成为“金课”，使其成为省内乃至全国的精品课程；以加强课堂教学建设，提高课堂教学水平和质量为目标，出台《青海大学加强课堂教学建设提高教学质量实施细则》，修订《青海大学教授、副教授为本科生上课的暂行规定》，提高本科</w:t>
      </w:r>
      <w:r>
        <w:rPr>
          <w:rFonts w:ascii="仿宋" w:hAnsi="仿宋" w:eastAsia="仿宋" w:cs="仿宋_GB2312"/>
          <w:color w:val="191919" w:themeColor="background1" w:themeShade="1A"/>
          <w:sz w:val="32"/>
          <w:szCs w:val="32"/>
        </w:rPr>
        <w:t>教学水平</w:t>
      </w:r>
      <w:r>
        <w:rPr>
          <w:rFonts w:hint="eastAsia" w:ascii="仿宋" w:hAnsi="仿宋" w:eastAsia="仿宋" w:cs="仿宋_GB2312"/>
          <w:color w:val="191919" w:themeColor="background1" w:themeShade="1A"/>
          <w:sz w:val="32"/>
          <w:szCs w:val="32"/>
        </w:rPr>
        <w:t>。</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9</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配合智慧教室建设，扩大</w:t>
      </w:r>
      <w:r>
        <w:rPr>
          <w:rFonts w:ascii="仿宋" w:hAnsi="仿宋" w:eastAsia="仿宋" w:cs="仿宋_GB2312"/>
          <w:color w:val="191919" w:themeColor="background1" w:themeShade="1A"/>
          <w:sz w:val="32"/>
          <w:szCs w:val="32"/>
        </w:rPr>
        <w:t>MOOC/SPOC</w:t>
      </w:r>
      <w:r>
        <w:rPr>
          <w:rFonts w:hint="eastAsia" w:ascii="仿宋" w:hAnsi="仿宋" w:eastAsia="仿宋" w:cs="仿宋_GB2312"/>
          <w:color w:val="191919" w:themeColor="background1" w:themeShade="1A"/>
          <w:sz w:val="32"/>
          <w:szCs w:val="32"/>
        </w:rPr>
        <w:t>等课程教学改革覆盖面，年内完成“三江源生态”</w:t>
      </w:r>
      <w:r>
        <w:rPr>
          <w:rFonts w:ascii="仿宋" w:hAnsi="仿宋" w:eastAsia="仿宋" w:cs="仿宋_GB2312"/>
          <w:color w:val="191919" w:themeColor="background1" w:themeShade="1A"/>
          <w:sz w:val="32"/>
          <w:szCs w:val="32"/>
        </w:rPr>
        <w:t>MOOC</w:t>
      </w:r>
      <w:r>
        <w:rPr>
          <w:rFonts w:hint="eastAsia" w:ascii="仿宋" w:hAnsi="仿宋" w:eastAsia="仿宋" w:cs="仿宋_GB2312"/>
          <w:color w:val="191919" w:themeColor="background1" w:themeShade="1A"/>
          <w:sz w:val="32"/>
          <w:szCs w:val="32"/>
        </w:rPr>
        <w:t>上线和宣传推广工作；继续推进混合式教学改革，做好优质线下课程、实践课程储备，做好《丝路南线民间文学》国家精品在线课程的申报，力争获批国家级精品在线课程及线下课程</w:t>
      </w:r>
      <w:r>
        <w:rPr>
          <w:rFonts w:ascii="仿宋" w:hAnsi="仿宋" w:eastAsia="仿宋" w:cs="仿宋_GB2312"/>
          <w:color w:val="191919" w:themeColor="background1" w:themeShade="1A"/>
          <w:sz w:val="32"/>
          <w:szCs w:val="32"/>
        </w:rPr>
        <w:t>1-2</w:t>
      </w:r>
      <w:r>
        <w:rPr>
          <w:rFonts w:hint="eastAsia" w:ascii="仿宋" w:hAnsi="仿宋" w:eastAsia="仿宋" w:cs="仿宋_GB2312"/>
          <w:color w:val="191919" w:themeColor="background1" w:themeShade="1A"/>
          <w:sz w:val="32"/>
          <w:szCs w:val="32"/>
        </w:rPr>
        <w:t>门；做好清华大学网络远程人文素质类课程教学，进一步扩大公共素质类选修课程源，全面提高学生综合素质；制定《青海大学2019年教育教学项目建设计划》，做好一流专业、课程思政示范课程、教学实践基地、教材建设、课程立项、考试方法改革等项目的立项工作。</w:t>
      </w:r>
    </w:p>
    <w:p>
      <w:pPr>
        <w:spacing w:line="560" w:lineRule="exact"/>
        <w:ind w:firstLine="643" w:firstLineChars="200"/>
        <w:rPr>
          <w:rFonts w:ascii="仿宋" w:hAnsi="仿宋" w:eastAsia="仿宋" w:cs="仿宋_GB2312"/>
          <w:b/>
          <w:bCs/>
          <w:color w:val="191919" w:themeColor="background1" w:themeShade="1A"/>
          <w:sz w:val="32"/>
          <w:szCs w:val="32"/>
        </w:rPr>
      </w:pPr>
      <w:r>
        <w:rPr>
          <w:rFonts w:hint="eastAsia" w:ascii="仿宋" w:hAnsi="仿宋" w:eastAsia="仿宋" w:cs="仿宋_GB2312"/>
          <w:b/>
          <w:bCs/>
          <w:color w:val="191919" w:themeColor="background1" w:themeShade="1A"/>
          <w:sz w:val="32"/>
          <w:szCs w:val="32"/>
        </w:rPr>
        <w:t>六、抓好学风建设工作，促进学生</w:t>
      </w:r>
      <w:r>
        <w:rPr>
          <w:rFonts w:ascii="仿宋" w:hAnsi="仿宋" w:eastAsia="仿宋" w:cs="仿宋_GB2312"/>
          <w:b/>
          <w:bCs/>
          <w:color w:val="191919" w:themeColor="background1" w:themeShade="1A"/>
          <w:sz w:val="32"/>
          <w:szCs w:val="32"/>
        </w:rPr>
        <w:t>成长成才</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10</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制定出台《青海大学学风建设实施方案》《青海大学学风建设三年行动计划》《青海大学切实加强美育工作的实施细则》，突出学风建设在学生全面发展中的核心作用，科学统筹、强化引导、严格管理、优质服务，积极推进“三全育人”工作向纵深发展，</w:t>
      </w:r>
      <w:r>
        <w:rPr>
          <w:rFonts w:ascii="仿宋" w:hAnsi="仿宋" w:eastAsia="仿宋" w:cs="仿宋_GB2312"/>
          <w:color w:val="191919" w:themeColor="background1" w:themeShade="1A"/>
          <w:sz w:val="32"/>
          <w:szCs w:val="32"/>
        </w:rPr>
        <w:t>构建学风建设长效机制，</w:t>
      </w:r>
      <w:r>
        <w:rPr>
          <w:rFonts w:hint="eastAsia" w:ascii="仿宋" w:hAnsi="仿宋" w:eastAsia="仿宋" w:cs="仿宋_GB2312"/>
          <w:color w:val="191919" w:themeColor="background1" w:themeShade="1A"/>
          <w:sz w:val="32"/>
          <w:szCs w:val="32"/>
        </w:rPr>
        <w:t>加强阳光体育活动，促进学生德智体美劳全面发展。</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11.制定出台《青海大学关于实施本科生导师制的指导意见》，充分发挥教师的主导作用，建立新型的师生关系，实施因材施教和个性化培养，构建合作与互动的育人机制。</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12</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深入推进学分制改革，完善选课制和学生转专业机制，畅通学分认定渠道，启动实施主辅修制，做好学籍管理和学分制收费管理的有效衔接，服务学生个性化需求，激发学生学习的积极性；升级改造教务管理系统，不断提高学分制下教务管理信息化水平，加强学业信息数据分析，提高教务管理工作水平和能力。</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13.扎实做好学期初、学期中和学期末的常规化教学检查、督导、测评等教学管理工作；加大过程性考核，全面实施期中考试制度，落实教师教学质量第一责任人责任，打牢课程教学质量的基础，不断提高教师整体素质和水平。</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14</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深化实践教学改革，建立以多重能力培养为导向的实践教学、专业实践、学生学科竞赛、社会实践和毕业论文（设计）五位一体的实践教学体系；加强毕业论文（设计）环节，严格过程管理、建立全面查重和质量抽查制度。</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15.制定出台《青海大学优秀本科生国际交流选拔及管理暂行规定》，规范国际交流生的管理，促进多元文化交流，利用对口支援高校优势资源，加大本科生的推免工作，继续联合培养本科生，创新工作模式提高学生的创新意识、实践能力和竞争力。</w:t>
      </w:r>
    </w:p>
    <w:p>
      <w:pPr>
        <w:spacing w:line="560" w:lineRule="exact"/>
        <w:ind w:firstLine="643" w:firstLineChars="200"/>
        <w:rPr>
          <w:rFonts w:ascii="仿宋" w:hAnsi="仿宋" w:eastAsia="仿宋" w:cs="仿宋_GB2312"/>
          <w:b/>
          <w:bCs/>
          <w:color w:val="191919" w:themeColor="background1" w:themeShade="1A"/>
          <w:sz w:val="32"/>
          <w:szCs w:val="32"/>
        </w:rPr>
      </w:pPr>
      <w:r>
        <w:rPr>
          <w:rFonts w:hint="eastAsia" w:ascii="仿宋" w:hAnsi="仿宋" w:eastAsia="仿宋" w:cs="仿宋_GB2312"/>
          <w:b/>
          <w:bCs/>
          <w:color w:val="191919" w:themeColor="background1" w:themeShade="1A"/>
          <w:sz w:val="32"/>
          <w:szCs w:val="32"/>
        </w:rPr>
        <w:t>七、抓好教师队伍建设，完善师资培养体系</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16</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健全高等教育研究中心职能，组建咨询专家团队，推进</w:t>
      </w:r>
      <w:r>
        <w:rPr>
          <w:rFonts w:ascii="仿宋" w:hAnsi="仿宋" w:eastAsia="仿宋" w:cs="仿宋_GB2312"/>
          <w:color w:val="191919" w:themeColor="background1" w:themeShade="1A"/>
          <w:sz w:val="32"/>
          <w:szCs w:val="32"/>
        </w:rPr>
        <w:t>2018</w:t>
      </w:r>
      <w:r>
        <w:rPr>
          <w:rFonts w:hint="eastAsia" w:ascii="仿宋" w:hAnsi="仿宋" w:eastAsia="仿宋" w:cs="仿宋_GB2312"/>
          <w:color w:val="191919" w:themeColor="background1" w:themeShade="1A"/>
          <w:sz w:val="32"/>
          <w:szCs w:val="32"/>
        </w:rPr>
        <w:t>年校级教学成果奖获奖成果宣传推广，科学制定青海大学</w:t>
      </w:r>
      <w:r>
        <w:rPr>
          <w:rFonts w:ascii="仿宋" w:hAnsi="仿宋" w:eastAsia="仿宋" w:cs="仿宋_GB2312"/>
          <w:color w:val="191919" w:themeColor="background1" w:themeShade="1A"/>
          <w:sz w:val="32"/>
          <w:szCs w:val="32"/>
        </w:rPr>
        <w:t>2019</w:t>
      </w:r>
      <w:r>
        <w:rPr>
          <w:rFonts w:hint="eastAsia" w:ascii="仿宋" w:hAnsi="仿宋" w:eastAsia="仿宋" w:cs="仿宋_GB2312"/>
          <w:color w:val="191919" w:themeColor="background1" w:themeShade="1A"/>
          <w:sz w:val="32"/>
          <w:szCs w:val="32"/>
        </w:rPr>
        <w:t>年度教育教学研究项目指南，同步开展单独立项和申报立项工作；建立学生信息员制度，探索互评机制，补齐公共基础课评教短板，开展学生评教和教师评学，健全学生评教信息反馈机制，完善质量保障体系。</w:t>
      </w:r>
    </w:p>
    <w:p>
      <w:pPr>
        <w:spacing w:line="560" w:lineRule="exact"/>
        <w:ind w:firstLine="640" w:firstLineChars="200"/>
        <w:rPr>
          <w:rFonts w:ascii="仿宋" w:hAnsi="仿宋" w:eastAsia="仿宋"/>
          <w:color w:val="191919" w:themeColor="background1" w:themeShade="1A"/>
          <w:sz w:val="32"/>
          <w:szCs w:val="32"/>
        </w:rPr>
      </w:pPr>
      <w:r>
        <w:rPr>
          <w:rFonts w:hint="eastAsia" w:ascii="仿宋" w:hAnsi="仿宋" w:eastAsia="仿宋" w:cs="仿宋_GB2312"/>
          <w:color w:val="191919" w:themeColor="background1" w:themeShade="1A"/>
          <w:sz w:val="32"/>
          <w:szCs w:val="32"/>
        </w:rPr>
        <w:t>17</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扩展和优化教师培训体系，落实教师培养五个计划，制定实施“青海大学新进教师启航计划”和“青海大学教学名师领航计划”。做好教学梯队建设，促进高水平教学团队形成。在清华大学等支援高校支持下，着力培育跨学科、跨领域创新团队，不断增强教师的综合素质；举办“名师工作坊”“教学学术分享日”沙龙活动，促进优秀教学经验交流分享；健全教师教学竞赛体系，畅通竞赛渠道，实现国赛全覆盖；联合督导、院系，精准定位问题，试点推行教师个性化教学能力提升解决方案，有针对性开展教师培训；制定教学管理人员培训方案，提高教学管理能力；加强教师教学理念、技能、方法培训，举办国</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境</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外专题研修班。</w:t>
      </w:r>
    </w:p>
    <w:p>
      <w:pPr>
        <w:spacing w:line="560" w:lineRule="exact"/>
        <w:ind w:firstLine="640" w:firstLineChars="200"/>
        <w:rPr>
          <w:rFonts w:ascii="仿宋" w:hAnsi="仿宋" w:eastAsia="仿宋"/>
          <w:color w:val="191919" w:themeColor="background1" w:themeShade="1A"/>
          <w:sz w:val="32"/>
          <w:szCs w:val="32"/>
        </w:rPr>
      </w:pPr>
      <w:r>
        <w:rPr>
          <w:rFonts w:hint="eastAsia" w:ascii="仿宋" w:hAnsi="仿宋" w:eastAsia="仿宋" w:cs="仿宋_GB2312"/>
          <w:color w:val="191919" w:themeColor="background1" w:themeShade="1A"/>
          <w:sz w:val="32"/>
          <w:szCs w:val="32"/>
        </w:rPr>
        <w:t>18</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加大师德师风建设，全面落实教育部印发的</w:t>
      </w:r>
      <w:r>
        <w:rPr>
          <w:rFonts w:hint="eastAsia" w:ascii="仿宋" w:hAnsi="仿宋" w:eastAsia="仿宋" w:cs="仿宋"/>
          <w:color w:val="191919" w:themeColor="background1" w:themeShade="1A"/>
          <w:sz w:val="32"/>
          <w:szCs w:val="32"/>
        </w:rPr>
        <w:t>《新时代高校教师职业行为十项准则》，将师德评价纳入网络评教体系；出台《青海大学师德失范负面清单及处理办法》，划定师德红线，明确把教学作为教师的首要职责和刚性要求，强化对教学质量、人才培养和思想政治等方面的考核；健全教师“荣誉体系”，进一步完善重师德、重教学、重育人、重奉献的教师考评机制；做好“回归课堂寻找金课”及“青大好老师”评选活动，继续开展</w:t>
      </w:r>
      <w:r>
        <w:rPr>
          <w:rFonts w:hint="eastAsia" w:ascii="仿宋" w:hAnsi="仿宋" w:eastAsia="仿宋" w:cs="仿宋_GB2312"/>
          <w:color w:val="191919" w:themeColor="background1" w:themeShade="1A"/>
          <w:sz w:val="32"/>
          <w:szCs w:val="32"/>
        </w:rPr>
        <w:t>师德师风主题实践及教师节系列活动，紧密结合“不忘初心，牢记使命”主题教育活动，举办建国70周年演讲比赛，营造良好师风教风。</w:t>
      </w:r>
    </w:p>
    <w:p>
      <w:pPr>
        <w:spacing w:line="560" w:lineRule="exact"/>
        <w:ind w:firstLine="640" w:firstLineChars="200"/>
        <w:rPr>
          <w:rFonts w:ascii="仿宋" w:hAnsi="仿宋" w:eastAsia="仿宋"/>
          <w:color w:val="191919" w:themeColor="background1" w:themeShade="1A"/>
          <w:sz w:val="32"/>
          <w:szCs w:val="32"/>
        </w:rPr>
      </w:pPr>
      <w:r>
        <w:rPr>
          <w:rFonts w:hint="eastAsia" w:ascii="仿宋" w:hAnsi="仿宋" w:eastAsia="仿宋" w:cs="仿宋_GB2312"/>
          <w:color w:val="191919" w:themeColor="background1" w:themeShade="1A"/>
          <w:sz w:val="32"/>
          <w:szCs w:val="32"/>
        </w:rPr>
        <w:t>19</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组织开展第十五个夏季小学期活动，以柔性性引智为主，强化教师技能培训和学生社会实践活动，发挥院系积极性、扩大交流覆盖面。</w:t>
      </w:r>
    </w:p>
    <w:p>
      <w:pPr>
        <w:spacing w:line="560" w:lineRule="exact"/>
        <w:ind w:firstLine="643" w:firstLineChars="200"/>
        <w:rPr>
          <w:rFonts w:ascii="仿宋" w:hAnsi="仿宋" w:eastAsia="仿宋" w:cs="仿宋_GB2312"/>
          <w:b/>
          <w:bCs/>
          <w:color w:val="191919" w:themeColor="background1" w:themeShade="1A"/>
          <w:sz w:val="32"/>
          <w:szCs w:val="32"/>
        </w:rPr>
      </w:pPr>
      <w:r>
        <w:rPr>
          <w:rFonts w:hint="eastAsia" w:ascii="仿宋" w:hAnsi="仿宋" w:eastAsia="仿宋" w:cs="仿宋_GB2312"/>
          <w:b/>
          <w:bCs/>
          <w:color w:val="191919" w:themeColor="background1" w:themeShade="1A"/>
          <w:sz w:val="32"/>
          <w:szCs w:val="32"/>
        </w:rPr>
        <w:t>八、抓好教学条件建设，强势推进智慧教学</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20.以“编选并重、锤炼精品”为指导思想，根据学科发展和教学需要，不断提高教材管理信息化水平，确保新、优教材进入课堂。以教学团队建设为依托，培育、建设、出版适应学校教学改革发展、具有鲜明特色的优质教材。</w:t>
      </w:r>
    </w:p>
    <w:p>
      <w:pPr>
        <w:spacing w:line="560" w:lineRule="exact"/>
        <w:ind w:firstLine="640" w:firstLineChars="200"/>
        <w:rPr>
          <w:rFonts w:ascii="仿宋" w:hAnsi="仿宋" w:eastAsia="仿宋" w:cs="仿宋_GB2312"/>
          <w:color w:val="191919" w:themeColor="background1" w:themeShade="1A"/>
          <w:sz w:val="32"/>
          <w:szCs w:val="32"/>
        </w:rPr>
      </w:pPr>
      <w:r>
        <w:rPr>
          <w:rFonts w:hint="eastAsia" w:ascii="仿宋" w:hAnsi="仿宋" w:eastAsia="仿宋" w:cs="仿宋_GB2312"/>
          <w:color w:val="191919" w:themeColor="background1" w:themeShade="1A"/>
          <w:sz w:val="32"/>
          <w:szCs w:val="32"/>
        </w:rPr>
        <w:t>21</w:t>
      </w:r>
      <w:r>
        <w:rPr>
          <w:rFonts w:ascii="仿宋" w:hAnsi="仿宋" w:eastAsia="仿宋" w:cs="仿宋_GB2312"/>
          <w:color w:val="191919" w:themeColor="background1" w:themeShade="1A"/>
          <w:sz w:val="32"/>
          <w:szCs w:val="32"/>
        </w:rPr>
        <w:t>.</w:t>
      </w:r>
      <w:r>
        <w:rPr>
          <w:rFonts w:hint="eastAsia" w:ascii="仿宋" w:hAnsi="仿宋" w:eastAsia="仿宋" w:cs="仿宋_GB2312"/>
          <w:color w:val="191919" w:themeColor="background1" w:themeShade="1A"/>
          <w:sz w:val="32"/>
          <w:szCs w:val="32"/>
        </w:rPr>
        <w:t>全力推进智慧教室建设和使用工作。制定《青海大学智慧教室管理和使用办法》，形成教师</w:t>
      </w:r>
      <w:r>
        <w:rPr>
          <w:rFonts w:ascii="仿宋" w:hAnsi="仿宋" w:eastAsia="仿宋" w:cs="仿宋_GB2312"/>
          <w:color w:val="191919" w:themeColor="background1" w:themeShade="1A"/>
          <w:sz w:val="32"/>
          <w:szCs w:val="32"/>
        </w:rPr>
        <w:t>操作技能培训计划，</w:t>
      </w:r>
      <w:r>
        <w:rPr>
          <w:rFonts w:hint="eastAsia" w:ascii="仿宋" w:hAnsi="仿宋" w:eastAsia="仿宋" w:cs="仿宋_GB2312"/>
          <w:color w:val="191919" w:themeColor="background1" w:themeShade="1A"/>
          <w:sz w:val="32"/>
          <w:szCs w:val="32"/>
        </w:rPr>
        <w:t>开展智慧教室使用专项</w:t>
      </w:r>
      <w:r>
        <w:rPr>
          <w:rFonts w:ascii="仿宋" w:hAnsi="仿宋" w:eastAsia="仿宋" w:cs="仿宋_GB2312"/>
          <w:color w:val="191919" w:themeColor="background1" w:themeShade="1A"/>
          <w:sz w:val="32"/>
          <w:szCs w:val="32"/>
        </w:rPr>
        <w:t>培训</w:t>
      </w:r>
      <w:r>
        <w:rPr>
          <w:rFonts w:hint="eastAsia" w:ascii="仿宋" w:hAnsi="仿宋" w:eastAsia="仿宋" w:cs="仿宋_GB2312"/>
          <w:color w:val="191919" w:themeColor="background1" w:themeShade="1A"/>
          <w:sz w:val="32"/>
          <w:szCs w:val="32"/>
        </w:rPr>
        <w:t>工作，丰富课堂教学内容，利用MOOC、雨课堂等现代技术手段，改进教学方式方法，促进现代教育技术与教育教学的深度融合，提升教学质量；改造、</w:t>
      </w:r>
      <w:r>
        <w:rPr>
          <w:rFonts w:ascii="仿宋" w:hAnsi="仿宋" w:eastAsia="仿宋" w:cs="仿宋_GB2312"/>
          <w:color w:val="191919" w:themeColor="background1" w:themeShade="1A"/>
          <w:sz w:val="32"/>
          <w:szCs w:val="32"/>
        </w:rPr>
        <w:t>维护</w:t>
      </w:r>
      <w:r>
        <w:rPr>
          <w:rFonts w:hint="eastAsia" w:ascii="仿宋" w:hAnsi="仿宋" w:eastAsia="仿宋" w:cs="仿宋_GB2312"/>
          <w:color w:val="191919" w:themeColor="background1" w:themeShade="1A"/>
          <w:sz w:val="32"/>
          <w:szCs w:val="32"/>
        </w:rPr>
        <w:t>原有多媒体</w:t>
      </w:r>
      <w:r>
        <w:rPr>
          <w:rFonts w:ascii="仿宋" w:hAnsi="仿宋" w:eastAsia="仿宋" w:cs="仿宋_GB2312"/>
          <w:color w:val="191919" w:themeColor="background1" w:themeShade="1A"/>
          <w:sz w:val="32"/>
          <w:szCs w:val="32"/>
        </w:rPr>
        <w:t>教室</w:t>
      </w:r>
      <w:r>
        <w:rPr>
          <w:rFonts w:hint="eastAsia" w:ascii="仿宋" w:hAnsi="仿宋" w:eastAsia="仿宋" w:cs="仿宋_GB2312"/>
          <w:color w:val="191919" w:themeColor="background1" w:themeShade="1A"/>
          <w:sz w:val="32"/>
          <w:szCs w:val="32"/>
        </w:rPr>
        <w:t>教学设备，确保</w:t>
      </w:r>
      <w:r>
        <w:rPr>
          <w:rFonts w:ascii="仿宋" w:hAnsi="仿宋" w:eastAsia="仿宋" w:cs="仿宋_GB2312"/>
          <w:color w:val="191919" w:themeColor="background1" w:themeShade="1A"/>
          <w:sz w:val="32"/>
          <w:szCs w:val="32"/>
        </w:rPr>
        <w:t>良好教学环境</w:t>
      </w:r>
      <w:r>
        <w:rPr>
          <w:rFonts w:hint="eastAsia" w:ascii="仿宋" w:hAnsi="仿宋" w:eastAsia="仿宋" w:cs="仿宋_GB2312"/>
          <w:color w:val="191919" w:themeColor="background1" w:themeShade="1A"/>
          <w:sz w:val="32"/>
          <w:szCs w:val="32"/>
        </w:rPr>
        <w:t>。</w:t>
      </w:r>
    </w:p>
    <w:p>
      <w:pPr>
        <w:spacing w:line="560" w:lineRule="exact"/>
        <w:rPr>
          <w:rFonts w:ascii="仿宋" w:hAnsi="仿宋" w:eastAsia="仿宋" w:cs="仿宋_GB2312"/>
          <w:color w:val="191919" w:themeColor="background1" w:themeShade="1A"/>
          <w:sz w:val="32"/>
          <w:szCs w:val="32"/>
        </w:rPr>
      </w:pPr>
    </w:p>
    <w:p>
      <w:pPr>
        <w:rPr>
          <w:rFonts w:ascii="仿宋" w:hAnsi="仿宋" w:eastAsia="仿宋"/>
          <w:color w:val="191919" w:themeColor="background1" w:themeShade="1A"/>
        </w:rPr>
      </w:pPr>
    </w:p>
    <w:sectPr>
      <w:footerReference r:id="rId3" w:type="default"/>
      <w:pgSz w:w="11906" w:h="16838"/>
      <w:pgMar w:top="1474" w:right="1701" w:bottom="147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IkaLoOz&#10;AQAAWQMAAA4AAAAAAAAAAQAgAAAAHgEAAGRycy9lMm9Eb2MueG1sUEsFBgAAAAAGAAYAWQEAAEMF&#10;AAAAAA==&#10;">
          <v:path/>
          <v:fill on="f" focussize="0,0"/>
          <v:stroke on="f" joinstyle="miter"/>
          <v:imagedata o:title=""/>
          <o:lock v:ext="edit"/>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5C00CF"/>
    <w:multiLevelType w:val="singleLevel"/>
    <w:tmpl w:val="BB5C00CF"/>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9154088"/>
    <w:rsid w:val="00013472"/>
    <w:rsid w:val="00094400"/>
    <w:rsid w:val="00172D46"/>
    <w:rsid w:val="00236305"/>
    <w:rsid w:val="003E4844"/>
    <w:rsid w:val="00510114"/>
    <w:rsid w:val="00637D18"/>
    <w:rsid w:val="006D3A12"/>
    <w:rsid w:val="008A27D9"/>
    <w:rsid w:val="009C6497"/>
    <w:rsid w:val="00A318D6"/>
    <w:rsid w:val="00AD0118"/>
    <w:rsid w:val="00AF2589"/>
    <w:rsid w:val="00B73E54"/>
    <w:rsid w:val="00C30B63"/>
    <w:rsid w:val="00CE4BD4"/>
    <w:rsid w:val="00CF2BFB"/>
    <w:rsid w:val="00F34799"/>
    <w:rsid w:val="00F34A1B"/>
    <w:rsid w:val="11A22872"/>
    <w:rsid w:val="147F5D4B"/>
    <w:rsid w:val="232A3BE3"/>
    <w:rsid w:val="2E5B4A52"/>
    <w:rsid w:val="370C6475"/>
    <w:rsid w:val="374A7545"/>
    <w:rsid w:val="3C665D5F"/>
    <w:rsid w:val="45CA585B"/>
    <w:rsid w:val="49154088"/>
    <w:rsid w:val="4E3049C2"/>
    <w:rsid w:val="661D1AB3"/>
    <w:rsid w:val="6DFB10BA"/>
    <w:rsid w:val="71A70468"/>
    <w:rsid w:val="78EC3971"/>
    <w:rsid w:val="7A2B2090"/>
    <w:rsid w:val="7CF63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530</Words>
  <Characters>3022</Characters>
  <Lines>25</Lines>
  <Paragraphs>7</Paragraphs>
  <TotalTime>12</TotalTime>
  <ScaleCrop>false</ScaleCrop>
  <LinksUpToDate>false</LinksUpToDate>
  <CharactersWithSpaces>3545</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2019-05-21T06:28:00Z</dcterms:created>
  <dc:creator>蔓草</dc:creator>
  <cp:lastModifiedBy>二胡的弦</cp:lastModifiedBy>
  <cp:lastPrinted>2019-05-21T06:15:00Z</cp:lastPrinted>
  <dcterms:modified xsi:type="dcterms:W3CDTF">2019-05-21T07:55:58Z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