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宋体" w:cs="Times New Roman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附件</w:t>
      </w:r>
    </w:p>
    <w:p>
      <w:pPr>
        <w:widowControl/>
        <w:jc w:val="center"/>
        <w:rPr>
          <w:rFonts w:ascii="宋体" w:cs="Times New Roman"/>
          <w:b/>
          <w:bCs/>
          <w:sz w:val="28"/>
          <w:szCs w:val="28"/>
        </w:rPr>
      </w:pPr>
      <w:bookmarkStart w:id="0" w:name="_GoBack"/>
      <w:r>
        <w:rPr>
          <w:rFonts w:ascii="宋体" w:hAnsi="宋体" w:cs="宋体"/>
          <w:b/>
          <w:bCs/>
          <w:sz w:val="28"/>
          <w:szCs w:val="28"/>
        </w:rPr>
        <w:t>201</w:t>
      </w:r>
      <w:r>
        <w:rPr>
          <w:rFonts w:hint="eastAsia" w:ascii="宋体" w:hAnsi="宋体" w:cs="宋体"/>
          <w:b/>
          <w:bCs/>
          <w:sz w:val="28"/>
          <w:szCs w:val="28"/>
        </w:rPr>
        <w:t>9年上半年网络直播讲座安排表</w:t>
      </w:r>
    </w:p>
    <w:bookmarkEnd w:id="0"/>
    <w:p>
      <w:pPr>
        <w:widowControl/>
        <w:jc w:val="left"/>
        <w:rPr>
          <w:rFonts w:ascii="宋体" w:cs="Times New Roman"/>
          <w:b/>
          <w:bCs/>
        </w:rPr>
      </w:pPr>
    </w:p>
    <w:tbl>
      <w:tblPr>
        <w:tblStyle w:val="3"/>
        <w:tblW w:w="8897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3279"/>
        <w:gridCol w:w="1320"/>
        <w:gridCol w:w="2931"/>
        <w:gridCol w:w="80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3279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讲座名称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讲座</w:t>
            </w:r>
          </w:p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时间</w:t>
            </w:r>
          </w:p>
        </w:tc>
        <w:tc>
          <w:tcPr>
            <w:tcW w:w="293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主讲教师</w:t>
            </w:r>
          </w:p>
        </w:tc>
        <w:tc>
          <w:tcPr>
            <w:tcW w:w="804" w:type="dxa"/>
          </w:tcPr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培训</w:t>
            </w:r>
          </w:p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地点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563" w:type="dxa"/>
            <w:tcBorders>
              <w:top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279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课堂互动教学技巧：打造“金课”的一把金钥匙</w:t>
            </w:r>
          </w:p>
        </w:tc>
        <w:tc>
          <w:tcPr>
            <w:tcW w:w="132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4月24日</w:t>
            </w:r>
          </w:p>
        </w:tc>
        <w:tc>
          <w:tcPr>
            <w:tcW w:w="2931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张建群（北京交通大学）</w:t>
            </w:r>
          </w:p>
        </w:tc>
        <w:tc>
          <w:tcPr>
            <w:tcW w:w="804" w:type="dxa"/>
            <w:vMerge w:val="restart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教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师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任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选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地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点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通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过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网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络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加</w:t>
            </w: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教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师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任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选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地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点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通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过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网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络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</w:t>
            </w:r>
          </w:p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医学类专业课程思政经验分享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4月25日</w:t>
            </w:r>
          </w:p>
        </w:tc>
        <w:tc>
          <w:tcPr>
            <w:tcW w:w="2931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魏琳（西安交通大学） 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依托在线开放课程的教学改革探索与创新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5月8日</w:t>
            </w:r>
          </w:p>
        </w:tc>
        <w:tc>
          <w:tcPr>
            <w:tcW w:w="2931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嵩天（北京理工大学）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有效教学实例分享——大学英语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5月9日</w:t>
            </w:r>
          </w:p>
        </w:tc>
        <w:tc>
          <w:tcPr>
            <w:tcW w:w="2931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时雨（南开大学）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有效教学实例分享——生物化学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5月13日</w:t>
            </w:r>
          </w:p>
        </w:tc>
        <w:tc>
          <w:tcPr>
            <w:tcW w:w="2931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王利凤（南开大学）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新时期师德师风建设的新征程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5月16日</w:t>
            </w:r>
          </w:p>
        </w:tc>
        <w:tc>
          <w:tcPr>
            <w:tcW w:w="2931" w:type="dxa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高晓莹（北京交通大学）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2018年国家级教学成果奖大讲堂——打造重实效的中国大学通识教育体系  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5月21日</w:t>
            </w:r>
          </w:p>
        </w:tc>
        <w:tc>
          <w:tcPr>
            <w:tcW w:w="2931" w:type="dxa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孙向晨（复旦大学）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高校教师职业的法律风险及防范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5月23日</w:t>
            </w:r>
          </w:p>
        </w:tc>
        <w:tc>
          <w:tcPr>
            <w:tcW w:w="2931" w:type="dxa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高晓莹（北京交通大学）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高校青年教师教学基本功的内涵与提升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5月27日</w:t>
            </w:r>
          </w:p>
        </w:tc>
        <w:tc>
          <w:tcPr>
            <w:tcW w:w="2931" w:type="dxa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骆有庆（北京林业大学）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大学生创新创业实践—以北京邮电大学为例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5月28日</w:t>
            </w:r>
          </w:p>
        </w:tc>
        <w:tc>
          <w:tcPr>
            <w:tcW w:w="2931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郭莉（北京邮电大学）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新时代高校思想政治理论课教学理念创新与实践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5月29日</w:t>
            </w:r>
          </w:p>
        </w:tc>
        <w:tc>
          <w:tcPr>
            <w:tcW w:w="2931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张晖（中国农业大学）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面向重大需求的人文社科类科研项目经验分享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5月30日</w:t>
            </w:r>
          </w:p>
        </w:tc>
        <w:tc>
          <w:tcPr>
            <w:tcW w:w="2931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刘铁忠（北京理工大学）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思想政治理论课慕课混合式教学模式的三重激励效应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6月6日</w:t>
            </w:r>
          </w:p>
        </w:tc>
        <w:tc>
          <w:tcPr>
            <w:tcW w:w="2931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翁贺凯（清华大学） 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中国古代历史理论的特点及发展大势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6月11日</w:t>
            </w:r>
          </w:p>
        </w:tc>
        <w:tc>
          <w:tcPr>
            <w:tcW w:w="2931" w:type="dxa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瞿林东（北京师范大学）</w:t>
            </w:r>
          </w:p>
        </w:tc>
        <w:tc>
          <w:tcPr>
            <w:tcW w:w="804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7E6A65"/>
    <w:rsid w:val="347E6A6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2019-04-24T06:19:00Z</dcterms:created>
  <dc:creator>二胡的弦</dc:creator>
  <cp:lastModifiedBy>二胡的弦</cp:lastModifiedBy>
  <dcterms:modified xsi:type="dcterms:W3CDTF">2019-04-24T06:33:48Z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