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20" w:lineRule="exact"/>
        <w:ind w:firstLine="643"/>
        <w:jc w:val="center"/>
        <w:rPr>
          <w:b/>
          <w:bCs/>
        </w:rPr>
      </w:pPr>
      <w:r>
        <w:rPr>
          <w:rFonts w:hint="eastAsia"/>
          <w:b/>
          <w:bCs/>
        </w:rPr>
        <w:t>青海大学本科教学审核评估整改工作台账</w:t>
      </w:r>
    </w:p>
    <w:tbl>
      <w:tblPr>
        <w:tblStyle w:val="2"/>
        <w:tblpPr w:leftFromText="180" w:rightFromText="180" w:vertAnchor="text" w:horzAnchor="page" w:tblpX="791" w:tblpY="930"/>
        <w:tblOverlap w:val="never"/>
        <w:tblW w:w="14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0"/>
        <w:gridCol w:w="6750"/>
        <w:gridCol w:w="2265"/>
        <w:gridCol w:w="1020"/>
        <w:gridCol w:w="1260"/>
        <w:gridCol w:w="1005"/>
        <w:gridCol w:w="1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blHeader/>
        </w:trPr>
        <w:tc>
          <w:tcPr>
            <w:tcW w:w="700" w:type="dxa"/>
            <w:vAlign w:val="center"/>
          </w:tcPr>
          <w:p>
            <w:pPr>
              <w:adjustRightInd w:val="0"/>
              <w:snapToGrid w:val="0"/>
              <w:spacing w:line="320" w:lineRule="exact"/>
              <w:ind w:firstLine="0" w:firstLineChars="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6750" w:type="dxa"/>
            <w:vAlign w:val="center"/>
          </w:tcPr>
          <w:p>
            <w:pPr>
              <w:adjustRightInd w:val="0"/>
              <w:snapToGrid w:val="0"/>
              <w:spacing w:line="320" w:lineRule="exact"/>
              <w:ind w:firstLine="482"/>
              <w:jc w:val="left"/>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整改任务</w:t>
            </w:r>
          </w:p>
        </w:tc>
        <w:tc>
          <w:tcPr>
            <w:tcW w:w="2265" w:type="dxa"/>
            <w:vAlign w:val="center"/>
          </w:tcPr>
          <w:p>
            <w:pPr>
              <w:adjustRightInd w:val="0"/>
              <w:snapToGrid w:val="0"/>
              <w:spacing w:line="320" w:lineRule="exact"/>
              <w:ind w:firstLine="482"/>
              <w:jc w:val="left"/>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整改情况</w:t>
            </w:r>
          </w:p>
        </w:tc>
        <w:tc>
          <w:tcPr>
            <w:tcW w:w="1020" w:type="dxa"/>
            <w:vAlign w:val="center"/>
          </w:tcPr>
          <w:p>
            <w:pPr>
              <w:adjustRightInd w:val="0"/>
              <w:snapToGrid w:val="0"/>
              <w:spacing w:line="320" w:lineRule="exact"/>
              <w:ind w:firstLine="0" w:firstLineChars="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完成情况</w:t>
            </w:r>
          </w:p>
        </w:tc>
        <w:tc>
          <w:tcPr>
            <w:tcW w:w="1260" w:type="dxa"/>
            <w:vAlign w:val="center"/>
          </w:tcPr>
          <w:p>
            <w:pPr>
              <w:adjustRightInd w:val="0"/>
              <w:snapToGrid w:val="0"/>
              <w:spacing w:line="320" w:lineRule="exact"/>
              <w:ind w:firstLine="0" w:firstLineChars="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责任部门</w:t>
            </w:r>
          </w:p>
        </w:tc>
        <w:tc>
          <w:tcPr>
            <w:tcW w:w="1005" w:type="dxa"/>
            <w:vAlign w:val="center"/>
          </w:tcPr>
          <w:p>
            <w:pPr>
              <w:adjustRightInd w:val="0"/>
              <w:snapToGrid w:val="0"/>
              <w:spacing w:line="320" w:lineRule="exact"/>
              <w:ind w:firstLine="0" w:firstLineChars="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责任人</w:t>
            </w:r>
          </w:p>
        </w:tc>
        <w:tc>
          <w:tcPr>
            <w:tcW w:w="1619" w:type="dxa"/>
            <w:vAlign w:val="center"/>
          </w:tcPr>
          <w:p>
            <w:pPr>
              <w:adjustRightInd w:val="0"/>
              <w:snapToGrid w:val="0"/>
              <w:spacing w:line="320" w:lineRule="exact"/>
              <w:ind w:firstLine="0" w:firstLineChars="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协同部门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面梳理学校学科专业布局，本着“激发学科发展活力，优化专业结构布局，增强资源配置效益，提高人才培养质量”的目标，出台《青海大学学科专业优化布局与院系调整实施方案》，全面启动学科专业优化布局与院系结构调整工作</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发展规划处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组织人事部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陈雪梅</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研究生院</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加强传统优势专业建设力度，完善动态调整机制</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遵循学科发展规律，分类指导，建立学科多元绩效评价体系；通过一流学科建设，增加本科教学工程建设投入，实现全校人、财、物等资源在专业建设中的优化配置和高效利用</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发展规划处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陈雪梅</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教务处 </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研究生院</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9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坚持引进与培养并举，建立人才分类引进机制，坚持合理制定教师编制管理和引才计划，增加对口支援高校定向委托培养博士的名额，建立专项资金完善相关配套制度，年均引进培养博士50名以上；加大思想政治理论课、人文素质教育课程和工科师资队伍的引进与培养，确保师资数量达到专业设置要求和人才培养需求</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组织人事部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3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出台相关政策科学合理调动农林科学院、畜牧兽医科学院科研人员参与本科教学的积极性；完善外聘教师聘用制度，加大企业、行业兼职师资聘用力度，共享省垣高校优秀师资</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科技处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王建军</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组织人事部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农科院</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牧科院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完善招生计划与就业人才培养联动机制，适度控制招生规模和增长速度，特别是严格控制办学条件较为薄弱专业的招生人数</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周全厚</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完善高端创新人才的管理和激励制度，坚持引进与培养并重。继续引进两院院士、长江学者特聘教授、杰青、国家千人计划、国家万人计划等领军人才；培养并引进国家优青、青年长江学者、科技部“创新人才推进计划”、中科院“百人计划”等学术学科带头人；大力培养本土中青年教学科研骨干和青年教师学术团队</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发展规划处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科技处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加大外专、外教聘用力度，广泛吸引海外高精尖人才来校从事研究和开展科研合作，在外籍千人专家和高端外国专家项目上实现新突破</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科技处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外事办</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王建军</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乔有明</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加大教师出国培训力度，进一步提高有国（境）外学习经历的专任教师比例</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充分利用人才特区建设相关政策措施，进一步加大高端人才和团队引进和培养力度，修订相关政策制度，提高安家费、科研启动费、科研平台建设、工作场所配备、薪酬等方面的条件和水平；实施一人一议、一事一议、全职聘用与柔性聘用、项目聘用制、年薪制等多种形式，增加高端人才和团队引进政策的灵活性</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发展规划处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科技处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实验教师队伍建设计划。深入推进人事制度改革，科学合理地设置实验教学和管理岗位，进一步加大单列专职实验员的招聘力度。建立专职实验员定编定岗制度，选聘优秀毕业生从事专职实验员岗位工作。积极通过合同聘用、返聘等灵活方式，多渠道为紧缺专业实验教学聘用人才</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杨德嵩</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制定出台《实验系列职称评定办法》，在职称评聘、岗位绩效等方面给予优惠政策，鼓励教师从事实验技术工作，引导部分实践教学能力强的专任教师转聘实验教学岗位</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杨德嵩</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建设一支品德高尚、业务能力强、管理水平高，具有服务意识的教学管理干部和管理人员队伍为目标，启动“青海大学管理人员能力提升培训计划”项目。其中：教学管理人员队伍培训由教务处负责、实验室管理人员队伍培训由实验室管理处负责、辅导员队伍培训由学生处负责、其他管理人员队伍培训由组织人事部负责，各责任单位拟定培训计划并实施</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杨德嵩</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各职能处室</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机制为引领，加强辅导员队伍的统筹建设。优化辅导员队伍的选拔聘用和考核机制，增加年轻辅导员数量，优化辅导员年龄和学历结构，逐步解决院系之间辅导员配备适合问题；在考核中凸显对学生成长成才的人文关怀和价值引导，构建以学生全面发展为中心的教育教学服务考核体系，在考核原则、考核方式、考核内容、测评体系上突出辅导员工作特色，科学认定辅导员工作成绩；进一步明晰辅导员工作职责，进一步完善教育教学服务体系，提高职业法制教育、就业指导的针对性，对学生职业生涯发展进行个性化辅导和咨询；将辅导员纳入人才培养计划和后备干部队伍，完善辅导员队伍的晋升和激励机制。</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组织人事部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周全厚</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青年教师教学能力提升计划。充分利用学校教师教学发展中心平台，有计划、有步骤的开展教师教学培训，提高中青年教师教学能力与教学水平；针对新任教青年教师，实行助教制度、教学督导制度；建立青年教师职业导师制，完善优秀教师“传、帮、带”团队协作机制，设立教师个人教学档案，通过定期举办名师教学示范、课堂教学观摩、青年教师讲课比赛等活动，进一步提升青年教师的教书育人水平</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展教师教研能力提升计划。积极引导教师结合教育教学实践深入开展教学研究，进一步挖掘、凝练、培育教研成果，推进教学研究质量提升，使教师通过研究教学，指导教学，改进教学，提升教学效果；加强教研成果的推广应用，开展全校教师教研成果推广应用优秀案例评选，搭建教研成果推广应用平台，切实解决教学实践中的实际问题；完善教研成果奖励机制，修订《青海大学教学成果奖励办法》加大成果奖励力度，把教师教研成果作为评职晋级的重要条件之一，促进教师教研能力提升</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强化管理，落实高级职称教师为本科生授课制度。严格执行《青海大学教授、副教授为本科生上课的暂行规定》，出台教学基本工作量，保证教授、副教授为本科生开课率达到100%</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tc>
        <w:tc>
          <w:tcPr>
            <w:tcW w:w="1005" w:type="dxa"/>
            <w:vAlign w:val="center"/>
          </w:tcPr>
          <w:p>
            <w:pPr>
              <w:adjustRightInd w:val="0"/>
              <w:snapToGrid w:val="0"/>
              <w:spacing w:line="40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以专业评估为抓手，梳理全校各专业的办学条件，了解各专业教学资源的分布情况，并为学校专业建设投入提供依据</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评估中心</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费胜章</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进一步推进实验室资产清查工作，了解各专业实验教学条件对其专业毕业要求和培养目标的支撑度；完善学科、专业间的实验室开放共享机制，提高使用效率，提升学校实践教学水平；</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杨德嵩</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全面清查教学资源分布情况。加大专项资金投入，搭建实习实训平台，切实培养学生创新精神和实践动手能力</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加强公共教学资源建设。以X型教学楼为依托，全面启动智慧教室建设工作，以教学设施现代化倒逼教师教学方式方法改革，提升课堂教学质量；2019年对农牧教学楼课桌椅全部更新</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发展规划处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基建处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以《普通高等学校本科专业类教学质量国家标准》（以下简称“国标”）为基准，开展2019版本科人才培养方案的修订工作。</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做好培养方案顶层设计，进一步明晰培养目标的内涵，进一步优化培养模式，拓宽专业基础，进一步强化实践教学，增大选修课学分的比例，为学生自主学习发展提供更多的空间</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认真领会各专业标准建设内涵，结合现有专业人才培养方案，认真开展对标工作，查找本专业存在问题和差距；充分运用教研室、教授委员会工作职责，邀请对口支援等高水平高校，参与培养方案制定、论证，确保培养方案质量</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教务处加强培养方案修订过程的监督作用，组织专家分学院听取专业培养方案制定的主要思路与举措，全程参与各专业培养方案的论证工作，确保培养方案的修订能够落到实处</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65"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8-5</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课程设置、教学内容方面逐渐加大数理基础和人文社科等方面的内容，加大公共选修课建设力度，充分利用优质在线课程资源，加大公共选修课种类、提高公共选修课质量</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分类分层培养，满足学生个性化成才。深入实施“三大类”人才培养模式改革，以“综合、拔尖、特色”为目标对学生进行个性化培养，推进多层次因材施教人才培养；在原有分级教学实施过程经验的基础上，全面优化设计分级教学模式，依据不同专业需求、学生能力，科学制定教学大纲和教学内容</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扩大大类招生与大类培养范围。出台《青海大学大类培养与专业分流管理暂行办法》，建立充分尊重学生专业选择权的专业分流机制，逐步破解专业同质化问题；继续推进完全学分制改革，进一步完善学分制收费、学籍管理等制度；坚持和完善转专业制度，充分尊重学生的专业选择权</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启动主辅修制和双学位制工作。建立完善辅修专业和双学位修读机制，制定灵活的辅修和双学位修读政策，鼓励学生修读辅修专业和双学位，培养复合型应用型人才</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逐步实施小班化教学改革。出台《青海大学关于全面推进本科小班化教学改革实施意见》，通过新生入学编班人数控制在30-35人以内，小班授课教师增加工作量系数等方法，调动教师参与小班授课改革的积极性；以专业核心课程必须小班授课的严格要求为抓手，深入开展小班教学改革。转变课程建设思路，实施课堂教学和考试制度综合改革，制定教学指导意见，完善课程教学评价指标体系，坚持“以生为本”“以学为主”，引导教师改进课程教学方法和手段，从以课堂知识传授为主向课堂讨论、课内与课外的密切结合转变。探索课堂教学与网络学习环境和资源的关系，充分认识优质在线课程的价值，细化《青海大学混合式教学改革试点工作实施方案》，促进信息技术与教育教学深度融合，力争在2020年使混合式教学成为教学新常态。制定《青海大学普通全日制本科生成绩及学分认定管理办法》，畅通渠道，鼓励学生多修读知名高校在线课程</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持续深化思想政治理论课程改革。加大对思想政治理论课教师的培训力度，实施“思想政治理论课课堂教学质量提升计划”，创新教法，逐步推行“中班授课、小班研讨”的教学方式改革，充分结合党的各类辅导读本和在线资源，推动党的理论创新成果走进学生，确保学生学透、入脑入心。加强思想政治理论课程与第二课堂、社会实践和学生党建工作的贯通，满足学生全面成长发展的需求和期待。打造思想政治理论课示范课堂，推动思想政治理论课程质量全面提升</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马克思主义学院</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武永亮</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冯彩莉</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宣传部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团  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推动思想政治教育融入专业教育。统筹制定学校“课程思政”育人目标、方案和考核标准，使各类课程与思政课能同心同向、同建同行，形成协同效应和育人合力</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宣传部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建立教师投入本科教学激励机制。在职称评审和各类人才项目实施中突出对本科教学方面的要求，出台本科教学突出业绩教师高级职称评定方案，对潜心教学、师德高尚、教学业绩突出的教师开设“绿色通道”</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教务处 </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组织部</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周引民</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强化毕业论文（设计）过程管理。全面修订《青海大学本科毕业论文（设计）工作管理暂行办法》，提高毕业论文（设计）的质量与规范。利用网络信息化技术手段，深入推进毕业论文（设计）“查重”检测工作，注重质量监控，全面提升毕业论文（设计）质量；深入开展选题审核工作，改善选题存在的质量不高，修改随意的现象</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面修订《青海大学关于试卷命题、审批、批改及试卷管理的规范》，出台《青海大学本科课程考核方法改革实施办法》，建立和完善以任课教师命题、阅卷、评分和课程教学质量评价为核心的课程教学质量评价机制，将课堂教学质量评价、管理、监督的重心下放到任课教师</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督导室</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评估中心</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一步分类推进医学人才培养改革。依据国务院办公厅印发的《关于深化医教协同进一步推进医学教育改革与发展的意见》要求，创新体制机制，以服务需求、提高质量为核心，建立健全适应行业特点的医学人才培养制度。继续实施订单式培养，按照“宽进严出、按需招生、以用定招”的原则开展定单、定向医学生培养，重点加大全科医生培养力度，为乡镇卫生院及以下的医疗卫生机构培养从事全科医疗卫生人才；加强医教协同教育，加大学校现有国家级临床医学、中医学和藏医学3个“卓越医生培养计划”项目投入，提升人才培养质量；推进医学教育教学资源共享，加大力度推进临床医学专业认证工作；创新人才培养模式，在医学类专业尝试开展拔尖创新人才培养和多学科交叉人才培养模式改革，为打通“本—硕—博”培养奠定基础。尝试实施本硕连读培养，为定向培养地区的学生延长学制，培养适合当地的高层次人才</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医学院</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附属医院</w:t>
            </w:r>
          </w:p>
        </w:tc>
        <w:tc>
          <w:tcPr>
            <w:tcW w:w="1005" w:type="dxa"/>
            <w:vAlign w:val="center"/>
          </w:tcPr>
          <w:p>
            <w:pPr>
              <w:adjustRightInd w:val="0"/>
              <w:snapToGrid w:val="0"/>
              <w:spacing w:line="40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苏占海</w:t>
            </w:r>
            <w:bookmarkStart w:id="0" w:name="_GoBack"/>
            <w:bookmarkEnd w:id="0"/>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杨爱荣</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研究生院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强化优良教风带动学风建设，加强师德师风建设；注重学校三全育人工作，形成协同育人机制；引导学生加强学习精力投入，凸显学业成绩导向，修订《青海大学推荐优秀应届本科毕业生免试攻读硕士学位管理办法》；严格教学管理，强化课堂考勤及形成性考核，严肃考风考纪，提升学习效果；加强学生内在学习动力激发机制，全面实行本科生导师制度</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强化外在的学习激励机制，加大对各类优秀学生典型的培育和选树，充分发挥典型的示范引领作用；加大先进班级、文明宿舍创建力度，加强对学生会、社团、志愿服务组织的领导与支持，充分发挥学生“自我教育、自我管理、自我服务”功能</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周全厚</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强顶层设计，加大经费支持，办好大学生创新创业大赛、职业生涯规划设计大赛等活动，把创新创业教育融入人才培养全过程，逐步提高学生创新意识和自主创业能力，增强学生就业竞争力和职业发展能力；完善组织实施，进一步健全第二课堂教学体系，出台《青海大学“第二课堂成绩单”制度实施办法(试行)》，深化第二课堂与第一课堂的有机结合；鼓励专任教师将课堂教学延伸到第二课堂辅导，做到两个课堂的师资共享；强化第二课堂育人效果，真正发挥与第一课堂互为补充的作用；通过举办健康心理活动，增强大学生心理素质，科学培养学生的个性和健康人格；通过开展阳光体育活动，有效释放学习、就业压力，增强体质，培养拼搏挑战的精神，以强健的体魄和充沛的精力实现身心和谐发展。</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团委</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学生处</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蔺琳</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周全厚</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体育部</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一步加强对教学质量建设的重视，提高对教学质量的宣传力度，培育负责任的教学质量监管队伍；加强院级教学单位教学管理队伍建设；制定相关政策，做好学校、学院两级教学督导队伍的调整工作。构建校、院两级管理、重心在院的教学管理体制。注重提升学院层面教学质量持续改进机制</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督导室</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王健</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断完善教学质量监控与保障体系建设，提高教学过程监控和监管手段的有效性，注重教学质量信息的收集、统计、分析，加强信息反馈、改进意见的落实和运用。全面实施网上评教工作，加大对网上评教数据的应用，提升教学质量</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评估中心</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督导室</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费胜章</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赵常丽</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王健</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0" w:hRule="atLeast"/>
          <w:tblHeader/>
        </w:trPr>
        <w:tc>
          <w:tcPr>
            <w:tcW w:w="70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w:t>
            </w:r>
          </w:p>
        </w:tc>
        <w:tc>
          <w:tcPr>
            <w:tcW w:w="675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建立完善的教学质量信息反馈系统和社会、用人单位反馈机制。对影响教学质量的各环节进行持续监督，发现可能存在的问题，实现对教学质量的动态监控和教学环节的动态调节</w:t>
            </w:r>
          </w:p>
        </w:tc>
        <w:tc>
          <w:tcPr>
            <w:tcW w:w="2265"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020" w:type="dxa"/>
            <w:vAlign w:val="center"/>
          </w:tcPr>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tc>
        <w:tc>
          <w:tcPr>
            <w:tcW w:w="1260"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评估中心</w:t>
            </w:r>
          </w:p>
        </w:tc>
        <w:tc>
          <w:tcPr>
            <w:tcW w:w="1005"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费胜章</w:t>
            </w:r>
          </w:p>
        </w:tc>
        <w:tc>
          <w:tcPr>
            <w:tcW w:w="1619" w:type="dxa"/>
            <w:vAlign w:val="center"/>
          </w:tcPr>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教务处</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督导室</w:t>
            </w:r>
          </w:p>
          <w:p>
            <w:pPr>
              <w:adjustRightInd w:val="0"/>
              <w:snapToGrid w:val="0"/>
              <w:spacing w:line="400" w:lineRule="exact"/>
              <w:ind w:firstLine="0" w:firstLineChars="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各教学单位</w:t>
            </w:r>
          </w:p>
        </w:tc>
      </w:tr>
    </w:tbl>
    <w:p>
      <w:pPr>
        <w:adjustRightInd w:val="0"/>
        <w:snapToGrid w:val="0"/>
        <w:spacing w:line="400" w:lineRule="exact"/>
        <w:ind w:firstLine="0" w:firstLineChars="0"/>
        <w:jc w:val="left"/>
        <w:rPr>
          <w:rFonts w:asciiTheme="minorEastAsia" w:hAnsiTheme="minorEastAsia" w:eastAsiaTheme="minorEastAsia" w:cstheme="minorEastAsia"/>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5F671A6"/>
    <w:rsid w:val="0018011B"/>
    <w:rsid w:val="008963D6"/>
    <w:rsid w:val="009012DF"/>
    <w:rsid w:val="009C0EC4"/>
    <w:rsid w:val="017E0359"/>
    <w:rsid w:val="02B16526"/>
    <w:rsid w:val="08261D90"/>
    <w:rsid w:val="08BC7A03"/>
    <w:rsid w:val="0A332D81"/>
    <w:rsid w:val="0AED002E"/>
    <w:rsid w:val="0C1E5BCE"/>
    <w:rsid w:val="0DF10078"/>
    <w:rsid w:val="105B1D4B"/>
    <w:rsid w:val="10B94D7D"/>
    <w:rsid w:val="122D5B93"/>
    <w:rsid w:val="12B62F99"/>
    <w:rsid w:val="12B93A58"/>
    <w:rsid w:val="12E11F82"/>
    <w:rsid w:val="13A469FA"/>
    <w:rsid w:val="13AA7119"/>
    <w:rsid w:val="14386090"/>
    <w:rsid w:val="15172685"/>
    <w:rsid w:val="1584449B"/>
    <w:rsid w:val="16813155"/>
    <w:rsid w:val="169E16E4"/>
    <w:rsid w:val="19A5325D"/>
    <w:rsid w:val="1A257A6C"/>
    <w:rsid w:val="1A58052A"/>
    <w:rsid w:val="1B1266DA"/>
    <w:rsid w:val="1B640E7A"/>
    <w:rsid w:val="1BB276D0"/>
    <w:rsid w:val="1D505CC6"/>
    <w:rsid w:val="1E2809BA"/>
    <w:rsid w:val="1F4C5441"/>
    <w:rsid w:val="22731794"/>
    <w:rsid w:val="22EF09DD"/>
    <w:rsid w:val="247D41ED"/>
    <w:rsid w:val="260267AC"/>
    <w:rsid w:val="26F47A3B"/>
    <w:rsid w:val="2CF60195"/>
    <w:rsid w:val="2E642356"/>
    <w:rsid w:val="2E713F5F"/>
    <w:rsid w:val="30886131"/>
    <w:rsid w:val="30980EEC"/>
    <w:rsid w:val="30F522D4"/>
    <w:rsid w:val="31AF0264"/>
    <w:rsid w:val="349B1485"/>
    <w:rsid w:val="3589591A"/>
    <w:rsid w:val="35F671A6"/>
    <w:rsid w:val="35F92D7A"/>
    <w:rsid w:val="36382ED0"/>
    <w:rsid w:val="38767DAD"/>
    <w:rsid w:val="3BF11495"/>
    <w:rsid w:val="3C656BD7"/>
    <w:rsid w:val="3E97536A"/>
    <w:rsid w:val="3F094C7B"/>
    <w:rsid w:val="3FC674D4"/>
    <w:rsid w:val="3FD94C18"/>
    <w:rsid w:val="40F70286"/>
    <w:rsid w:val="44A761C2"/>
    <w:rsid w:val="46E37472"/>
    <w:rsid w:val="471C151F"/>
    <w:rsid w:val="475569DC"/>
    <w:rsid w:val="478026F1"/>
    <w:rsid w:val="49F306FF"/>
    <w:rsid w:val="4A4448AD"/>
    <w:rsid w:val="4A990E58"/>
    <w:rsid w:val="4BA775C4"/>
    <w:rsid w:val="4D2044BC"/>
    <w:rsid w:val="4F482A86"/>
    <w:rsid w:val="50855B7B"/>
    <w:rsid w:val="50F85C44"/>
    <w:rsid w:val="51012D6A"/>
    <w:rsid w:val="511971E0"/>
    <w:rsid w:val="53045884"/>
    <w:rsid w:val="53376B8E"/>
    <w:rsid w:val="540A730C"/>
    <w:rsid w:val="542567E1"/>
    <w:rsid w:val="55E91DCE"/>
    <w:rsid w:val="56FB5AF8"/>
    <w:rsid w:val="571C52E5"/>
    <w:rsid w:val="57F02AE5"/>
    <w:rsid w:val="59022AE2"/>
    <w:rsid w:val="594F31A3"/>
    <w:rsid w:val="599D5CBF"/>
    <w:rsid w:val="5B9E58C3"/>
    <w:rsid w:val="5C097A5B"/>
    <w:rsid w:val="5C9A73D5"/>
    <w:rsid w:val="5FD36914"/>
    <w:rsid w:val="62FC46C9"/>
    <w:rsid w:val="63544774"/>
    <w:rsid w:val="6513143D"/>
    <w:rsid w:val="65BA0A04"/>
    <w:rsid w:val="65ED23C0"/>
    <w:rsid w:val="66F77086"/>
    <w:rsid w:val="6791719C"/>
    <w:rsid w:val="682E0801"/>
    <w:rsid w:val="6A6D7E7D"/>
    <w:rsid w:val="6AEA2FC2"/>
    <w:rsid w:val="6AF206C4"/>
    <w:rsid w:val="6BAB48BA"/>
    <w:rsid w:val="6D4F403E"/>
    <w:rsid w:val="6E2B02A3"/>
    <w:rsid w:val="6E561BB3"/>
    <w:rsid w:val="6E7B596E"/>
    <w:rsid w:val="6E9831B3"/>
    <w:rsid w:val="715A7216"/>
    <w:rsid w:val="71CE2FA9"/>
    <w:rsid w:val="73937EBA"/>
    <w:rsid w:val="73BE6509"/>
    <w:rsid w:val="740B0A4C"/>
    <w:rsid w:val="74297B01"/>
    <w:rsid w:val="753D4EDF"/>
    <w:rsid w:val="75B601AB"/>
    <w:rsid w:val="761504E1"/>
    <w:rsid w:val="768F4057"/>
    <w:rsid w:val="76E148E4"/>
    <w:rsid w:val="783014E2"/>
    <w:rsid w:val="7883170D"/>
    <w:rsid w:val="79023897"/>
    <w:rsid w:val="796C2365"/>
    <w:rsid w:val="79A817A8"/>
    <w:rsid w:val="7A175197"/>
    <w:rsid w:val="7B620798"/>
    <w:rsid w:val="7C1D1048"/>
    <w:rsid w:val="7C275A24"/>
    <w:rsid w:val="7E593B78"/>
    <w:rsid w:val="7EEB388C"/>
    <w:rsid w:val="7EF56357"/>
    <w:rsid w:val="7FB1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character" w:styleId="4">
    <w:name w:val="FollowedHyperlink"/>
    <w:basedOn w:val="3"/>
    <w:qFormat/>
    <w:uiPriority w:val="0"/>
    <w:rPr>
      <w:rFonts w:hint="default" w:ascii="Arial" w:hAnsi="Arial" w:cs="Arial"/>
      <w:color w:val="007CD2"/>
      <w:sz w:val="24"/>
      <w:szCs w:val="24"/>
      <w:u w:val="none"/>
    </w:rPr>
  </w:style>
  <w:style w:type="character" w:styleId="5">
    <w:name w:val="Hyperlink"/>
    <w:basedOn w:val="3"/>
    <w:qFormat/>
    <w:uiPriority w:val="0"/>
    <w:rPr>
      <w:rFonts w:ascii="Arial" w:hAnsi="Arial" w:cs="Arial"/>
      <w:color w:val="007CD2"/>
      <w:sz w:val="24"/>
      <w:szCs w:val="24"/>
      <w:u w:val="none"/>
    </w:rPr>
  </w:style>
  <w:style w:type="paragraph" w:customStyle="1" w:styleId="6">
    <w:name w:val="Default"/>
    <w:qFormat/>
    <w:uiPriority w:val="0"/>
    <w:pPr>
      <w:widowControl w:val="0"/>
      <w:autoSpaceDE w:val="0"/>
      <w:autoSpaceDN w:val="0"/>
      <w:adjustRightInd w:val="0"/>
    </w:pPr>
    <w:rPr>
      <w:rFonts w:ascii="Arial Unicode MS" w:hAnsi="Arial Unicode MS" w:eastAsia="宋体"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5945</Words>
  <Characters>539</Characters>
  <Lines>4</Lines>
  <Paragraphs>12</Paragraphs>
  <TotalTime>5</TotalTime>
  <ScaleCrop>false</ScaleCrop>
  <LinksUpToDate>false</LinksUpToDate>
  <CharactersWithSpaces>6472</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2019-03-21T07:02:00Z</dcterms:created>
  <dc:creator>边走边看</dc:creator>
  <cp:lastModifiedBy>Administrator</cp:lastModifiedBy>
  <dcterms:modified xsi:type="dcterms:W3CDTF">2019-04-02T06:37:59Z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