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80F79C"/>
  <w:body>
    <w:p>
      <w:pPr>
        <w:widowControl/>
        <w:spacing w:before="100" w:beforeAutospacing="1" w:after="100" w:afterAutospacing="1"/>
        <w:jc w:val="center"/>
        <w:outlineLvl w:val="2"/>
        <w:rPr>
          <w:rFonts w:ascii="宋体" w:hAnsi="宋体" w:eastAsia="宋体" w:cs="宋体"/>
          <w:color w:val="FF0000"/>
          <w:kern w:val="0"/>
          <w:sz w:val="20"/>
          <w:szCs w:val="20"/>
        </w:rPr>
      </w:pPr>
      <w:r>
        <w:rPr>
          <w:rFonts w:hint="eastAsia" w:ascii="黑体" w:hAnsi="黑体" w:eastAsia="黑体" w:cs="Tahoma"/>
          <w:b/>
          <w:bCs/>
          <w:kern w:val="0"/>
          <w:sz w:val="32"/>
          <w:szCs w:val="32"/>
        </w:rPr>
        <w:t>青海大学普通全日制本科生成绩及学分认定管理办法</w:t>
      </w:r>
      <w:r>
        <w:rPr>
          <w:rFonts w:ascii="黑体" w:hAnsi="黑体" w:eastAsia="黑体" w:cs="Tahoma"/>
          <w:b/>
          <w:bCs/>
          <w:kern w:val="0"/>
          <w:sz w:val="32"/>
          <w:szCs w:val="32"/>
        </w:rPr>
        <w:t>（试行）</w:t>
      </w:r>
      <w:r>
        <w:rPr>
          <w:rFonts w:ascii="宋体" w:hAnsi="宋体" w:eastAsia="宋体" w:cs="宋体"/>
          <w:sz w:val="24"/>
          <w:szCs w:val="24"/>
        </w:rPr>
        <w:t xml:space="preserve"> </w:t>
      </w:r>
    </w:p>
    <w:p>
      <w:pPr>
        <w:widowControl/>
        <w:adjustRightInd w:val="0"/>
        <w:snapToGrid w:val="0"/>
        <w:spacing w:line="560" w:lineRule="exact"/>
        <w:ind w:firstLine="640" w:firstLineChars="200"/>
        <w:jc w:val="left"/>
        <w:rPr>
          <w:rFonts w:ascii="仿宋" w:hAnsi="仿宋" w:eastAsia="仿宋" w:cs="仿宋"/>
          <w:b/>
          <w:bCs/>
          <w:kern w:val="0"/>
          <w:sz w:val="32"/>
          <w:szCs w:val="32"/>
        </w:rPr>
      </w:pPr>
      <w:r>
        <w:rPr>
          <w:rFonts w:hint="eastAsia" w:ascii="仿宋" w:hAnsi="仿宋" w:eastAsia="仿宋" w:cs="仿宋"/>
          <w:kern w:val="0"/>
          <w:sz w:val="32"/>
          <w:szCs w:val="32"/>
        </w:rPr>
        <w:t>为进一步</w:t>
      </w:r>
      <w:r>
        <w:rPr>
          <w:rFonts w:hint="eastAsia" w:ascii="仿宋" w:hAnsi="仿宋" w:eastAsia="仿宋" w:cs="仿宋"/>
          <w:sz w:val="32"/>
          <w:szCs w:val="32"/>
        </w:rPr>
        <w:t>推进学分制改革，规范我校本科生课程成绩管理，完善学分认定制度，确保课程成绩及学分的准确性、严肃性，根据</w:t>
      </w:r>
      <w:r>
        <w:rPr>
          <w:rFonts w:hint="eastAsia" w:ascii="仿宋" w:hAnsi="仿宋" w:eastAsia="仿宋" w:cs="仿宋"/>
          <w:kern w:val="0"/>
          <w:sz w:val="32"/>
          <w:szCs w:val="32"/>
        </w:rPr>
        <w:t>《青海大学普通全日制本科学生学籍管理规定》</w:t>
      </w:r>
      <w:r>
        <w:rPr>
          <w:rFonts w:hint="eastAsia" w:ascii="仿宋" w:hAnsi="仿宋" w:eastAsia="仿宋" w:cs="仿宋"/>
          <w:sz w:val="32"/>
          <w:szCs w:val="32"/>
        </w:rPr>
        <w:t>《青海大学试卷命题、审批、批改等管理规范》等有关规定，结合我校实际，</w:t>
      </w:r>
      <w:r>
        <w:rPr>
          <w:rFonts w:hint="eastAsia" w:ascii="仿宋" w:hAnsi="仿宋" w:eastAsia="仿宋" w:cs="仿宋"/>
          <w:kern w:val="0"/>
          <w:sz w:val="32"/>
          <w:szCs w:val="32"/>
        </w:rPr>
        <w:t>特制定本办法。</w:t>
      </w:r>
    </w:p>
    <w:p>
      <w:pPr>
        <w:widowControl/>
        <w:adjustRightInd w:val="0"/>
        <w:snapToGrid w:val="0"/>
        <w:spacing w:beforeLines="50" w:afterLines="50" w:line="560" w:lineRule="exact"/>
        <w:jc w:val="center"/>
        <w:rPr>
          <w:rFonts w:ascii="宋体" w:hAnsi="宋体" w:eastAsia="宋体" w:cs="宋体"/>
          <w:kern w:val="0"/>
          <w:sz w:val="20"/>
          <w:szCs w:val="20"/>
        </w:rPr>
      </w:pPr>
      <w:r>
        <w:rPr>
          <w:rFonts w:ascii="Times New Roman" w:hAnsi="仿宋_GB2312" w:eastAsia="宋体" w:cs="宋体"/>
          <w:b/>
          <w:kern w:val="0"/>
          <w:sz w:val="32"/>
          <w:szCs w:val="32"/>
        </w:rPr>
        <w:t>第一章</w:t>
      </w:r>
      <w:r>
        <w:rPr>
          <w:rFonts w:hint="eastAsia" w:ascii="Times New Roman" w:hAnsi="仿宋_GB2312" w:eastAsia="宋体" w:cs="宋体"/>
          <w:b/>
          <w:kern w:val="0"/>
          <w:sz w:val="32"/>
          <w:szCs w:val="32"/>
        </w:rPr>
        <w:t xml:space="preserve"> </w:t>
      </w:r>
      <w:bookmarkStart w:id="0" w:name="baidusnap3"/>
      <w:bookmarkEnd w:id="0"/>
      <w:r>
        <w:rPr>
          <w:rFonts w:ascii="Times New Roman" w:hAnsi="仿宋_GB2312" w:eastAsia="宋体" w:cs="宋体"/>
          <w:b/>
          <w:kern w:val="0"/>
          <w:sz w:val="32"/>
          <w:szCs w:val="32"/>
        </w:rPr>
        <w:t>认定原则</w:t>
      </w:r>
      <w:r>
        <w:rPr>
          <w:rFonts w:hint="eastAsia" w:ascii="Times New Roman" w:hAnsi="仿宋_GB2312" w:eastAsia="宋体" w:cs="宋体"/>
          <w:b/>
          <w:kern w:val="0"/>
          <w:sz w:val="32"/>
          <w:szCs w:val="32"/>
        </w:rPr>
        <w:t>、程序及范围</w:t>
      </w:r>
    </w:p>
    <w:p>
      <w:pPr>
        <w:widowControl/>
        <w:adjustRightInd w:val="0"/>
        <w:snapToGrid w:val="0"/>
        <w:spacing w:line="560" w:lineRule="exact"/>
        <w:ind w:firstLine="643" w:firstLineChars="200"/>
        <w:rPr>
          <w:rFonts w:ascii="仿宋" w:hAnsi="仿宋" w:eastAsia="仿宋" w:cs="仿宋"/>
          <w:kern w:val="0"/>
          <w:sz w:val="32"/>
          <w:szCs w:val="32"/>
        </w:rPr>
      </w:pPr>
      <w:r>
        <w:rPr>
          <w:rFonts w:hint="eastAsia" w:ascii="仿宋" w:hAnsi="仿宋" w:eastAsia="仿宋" w:cs="仿宋"/>
          <w:b/>
          <w:bCs/>
          <w:kern w:val="0"/>
          <w:sz w:val="32"/>
          <w:szCs w:val="32"/>
        </w:rPr>
        <w:t>第一条</w:t>
      </w:r>
      <w:r>
        <w:rPr>
          <w:rFonts w:hint="eastAsia" w:ascii="仿宋" w:hAnsi="仿宋" w:eastAsia="仿宋" w:cs="仿宋"/>
          <w:kern w:val="0"/>
          <w:sz w:val="32"/>
          <w:szCs w:val="32"/>
        </w:rPr>
        <w:t xml:space="preserve"> 本科生按学校规定参加教学计划所规定的课程（必修、选修）学习，并完成各教学环节的考核，成绩合格取得该课程学分。学生在校期间，已取得学分的课程成绩始终有效，每门课程每次考试成绩均记入学生学习成绩档案。</w:t>
      </w:r>
    </w:p>
    <w:p>
      <w:pPr>
        <w:widowControl/>
        <w:adjustRightInd w:val="0"/>
        <w:snapToGrid w:val="0"/>
        <w:spacing w:line="560" w:lineRule="exact"/>
        <w:ind w:firstLine="643" w:firstLineChars="200"/>
        <w:rPr>
          <w:rFonts w:ascii="仿宋" w:hAnsi="仿宋" w:eastAsia="仿宋" w:cs="仿宋"/>
          <w:kern w:val="0"/>
          <w:sz w:val="32"/>
          <w:szCs w:val="32"/>
        </w:rPr>
      </w:pPr>
      <w:r>
        <w:rPr>
          <w:rFonts w:hint="eastAsia" w:ascii="仿宋" w:hAnsi="仿宋" w:eastAsia="仿宋" w:cs="仿宋"/>
          <w:b/>
          <w:bCs/>
          <w:kern w:val="0"/>
          <w:sz w:val="32"/>
          <w:szCs w:val="32"/>
        </w:rPr>
        <w:t>第二条</w:t>
      </w:r>
      <w:r>
        <w:rPr>
          <w:rFonts w:hint="eastAsia" w:ascii="仿宋" w:hAnsi="仿宋" w:eastAsia="仿宋" w:cs="仿宋"/>
          <w:kern w:val="0"/>
          <w:sz w:val="32"/>
          <w:szCs w:val="32"/>
        </w:rPr>
        <w:t xml:space="preserve"> 由学校选派或批准赴外校交流学习（含暑期夏令营）的学生，其学习期间课程成绩和学分可予以认定；未经我校选派或审批，自行联系到其它高校学习的，不予认定。学生申请认定的课程学分和成绩，必须有交流高校教务部门出具的正式成绩单或学习证明。学生在外校交流学习期间修读的课程，若必修课程考试不及格，回校后必须重修（或补修）。</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第三条</w:t>
      </w:r>
      <w:r>
        <w:rPr>
          <w:rFonts w:hint="eastAsia" w:ascii="仿宋" w:hAnsi="仿宋" w:eastAsia="仿宋" w:cs="仿宋"/>
          <w:kern w:val="0"/>
          <w:sz w:val="32"/>
          <w:szCs w:val="32"/>
        </w:rPr>
        <w:t xml:space="preserve">  学分认定须同时满足以下条件：</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（一）认定课程学分应大于等于被认定课程学分，认定课程与被认定课程名相同或相近。</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（二）认定课程教学内容及教学要求必须能够达到我校被认定课程教学大纲的要求或者主体内容相近。</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第四条</w:t>
      </w:r>
      <w:r>
        <w:rPr>
          <w:rFonts w:hint="eastAsia" w:ascii="仿宋" w:hAnsi="仿宋" w:eastAsia="仿宋" w:cs="仿宋"/>
          <w:kern w:val="0"/>
          <w:sz w:val="32"/>
          <w:szCs w:val="32"/>
        </w:rPr>
        <w:t xml:space="preserve"> 学分认定一般程序:</w:t>
      </w:r>
    </w:p>
    <w:p>
      <w:pPr>
        <w:widowControl/>
        <w:adjustRightInd w:val="0"/>
        <w:snapToGri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(一)在每学期期初(或返校后)两周内,学生本人向所在院系提出课程学分认定申请, 填写《青海大学本科生课程学分认定申请表》,并提交相关证明材料,逾期视为自动放弃,由此产生的不良后果(可能无法通过毕业及学位资格审核等)由学生本人负责;</w:t>
      </w:r>
    </w:p>
    <w:p>
      <w:pPr>
        <w:widowControl/>
        <w:adjustRightInd w:val="0"/>
        <w:snapToGri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(二)学生所在院系负责组织审核、签署课程成绩、学分认定意见。</w:t>
      </w:r>
    </w:p>
    <w:p>
      <w:pPr>
        <w:widowControl/>
        <w:adjustRightInd w:val="0"/>
        <w:snapToGrid w:val="0"/>
        <w:spacing w:line="56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(三)教务处审批后予以认定，将课程成绩和学分记入学生成绩档案，安排必修课程重修等。</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第五条</w:t>
      </w:r>
      <w:r>
        <w:rPr>
          <w:rFonts w:hint="eastAsia" w:ascii="仿宋" w:hAnsi="仿宋" w:eastAsia="仿宋" w:cs="仿宋"/>
          <w:kern w:val="0"/>
          <w:sz w:val="32"/>
          <w:szCs w:val="32"/>
        </w:rPr>
        <w:t xml:space="preserve"> 学分认定的范围：1.学籍异动（转学、转专业、复学等）专业修读的课程。 2.国内交流学习课程、实习或实践活动。3.国（境）外学习课程、实习或实践活动。4.网络课程及在线开放课程。5.创新、创业实践活动。</w:t>
      </w: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3" w:firstLineChars="200"/>
        <w:jc w:val="center"/>
        <w:rPr>
          <w:rFonts w:ascii="仿宋" w:hAnsi="仿宋" w:eastAsia="仿宋" w:cs="仿宋"/>
          <w:b/>
          <w:kern w:val="0"/>
          <w:sz w:val="32"/>
          <w:szCs w:val="32"/>
        </w:rPr>
      </w:pPr>
      <w:r>
        <w:rPr>
          <w:rFonts w:hint="eastAsia" w:ascii="仿宋" w:hAnsi="仿宋" w:eastAsia="仿宋" w:cs="仿宋"/>
          <w:b/>
          <w:kern w:val="0"/>
          <w:sz w:val="32"/>
          <w:szCs w:val="32"/>
        </w:rPr>
        <w:t>第二章  学籍异动学生的课程及学分认定</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第六条</w:t>
      </w:r>
      <w:r>
        <w:rPr>
          <w:rFonts w:hint="eastAsia" w:ascii="仿宋" w:hAnsi="仿宋" w:eastAsia="仿宋" w:cs="仿宋"/>
          <w:kern w:val="0"/>
          <w:sz w:val="32"/>
          <w:szCs w:val="32"/>
        </w:rPr>
        <w:t xml:space="preserve"> 转学学生课程及学分认定：</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(一)需要提交的证明材料:</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1.原就读学校教务处出具的成绩单原件</w:t>
      </w:r>
      <w:r>
        <w:rPr>
          <w:rFonts w:hint="eastAsia" w:ascii="仿宋" w:hAnsi="仿宋" w:eastAsia="仿宋" w:cs="仿宋"/>
          <w:kern w:val="0"/>
          <w:sz w:val="32"/>
          <w:szCs w:val="32"/>
        </w:rPr>
        <w:t>1</w:t>
      </w:r>
      <w:r>
        <w:rPr>
          <w:rFonts w:ascii="仿宋" w:hAnsi="仿宋" w:eastAsia="仿宋" w:cs="仿宋"/>
          <w:kern w:val="0"/>
          <w:sz w:val="32"/>
          <w:szCs w:val="32"/>
        </w:rPr>
        <w:t>份</w:t>
      </w:r>
      <w:r>
        <w:rPr>
          <w:rFonts w:hint="eastAsia" w:ascii="仿宋" w:hAnsi="仿宋" w:eastAsia="仿宋" w:cs="仿宋"/>
          <w:kern w:val="0"/>
          <w:sz w:val="32"/>
          <w:szCs w:val="32"/>
        </w:rPr>
        <w:t>，复印2份备用。原件</w:t>
      </w:r>
      <w:r>
        <w:rPr>
          <w:rFonts w:ascii="仿宋" w:hAnsi="仿宋" w:eastAsia="仿宋" w:cs="仿宋"/>
          <w:kern w:val="0"/>
          <w:sz w:val="32"/>
          <w:szCs w:val="32"/>
        </w:rPr>
        <w:t>存入学生</w:t>
      </w:r>
      <w:r>
        <w:rPr>
          <w:rFonts w:hint="eastAsia" w:ascii="仿宋" w:hAnsi="仿宋" w:eastAsia="仿宋" w:cs="仿宋"/>
          <w:kern w:val="0"/>
          <w:sz w:val="32"/>
          <w:szCs w:val="32"/>
        </w:rPr>
        <w:t>学籍</w:t>
      </w:r>
      <w:r>
        <w:rPr>
          <w:rFonts w:ascii="仿宋" w:hAnsi="仿宋" w:eastAsia="仿宋" w:cs="仿宋"/>
          <w:kern w:val="0"/>
          <w:sz w:val="32"/>
          <w:szCs w:val="32"/>
        </w:rPr>
        <w:t>档案</w:t>
      </w:r>
      <w:r>
        <w:rPr>
          <w:rFonts w:hint="eastAsia" w:ascii="仿宋" w:hAnsi="仿宋" w:eastAsia="仿宋" w:cs="仿宋"/>
          <w:kern w:val="0"/>
          <w:sz w:val="32"/>
          <w:szCs w:val="32"/>
        </w:rPr>
        <w:t>，复印件</w:t>
      </w:r>
      <w:r>
        <w:rPr>
          <w:rFonts w:ascii="仿宋" w:hAnsi="仿宋" w:eastAsia="仿宋" w:cs="仿宋"/>
          <w:kern w:val="0"/>
          <w:sz w:val="32"/>
          <w:szCs w:val="32"/>
        </w:rPr>
        <w:t>1份由学生所在院</w:t>
      </w:r>
      <w:r>
        <w:rPr>
          <w:rFonts w:hint="eastAsia" w:ascii="仿宋" w:hAnsi="仿宋" w:eastAsia="仿宋" w:cs="仿宋"/>
          <w:kern w:val="0"/>
          <w:sz w:val="32"/>
          <w:szCs w:val="32"/>
        </w:rPr>
        <w:t>系核定后</w:t>
      </w:r>
      <w:r>
        <w:rPr>
          <w:rFonts w:ascii="仿宋" w:hAnsi="仿宋" w:eastAsia="仿宋" w:cs="仿宋"/>
          <w:kern w:val="0"/>
          <w:sz w:val="32"/>
          <w:szCs w:val="32"/>
        </w:rPr>
        <w:t>转送教务处用于学分转换</w:t>
      </w:r>
      <w:r>
        <w:rPr>
          <w:rFonts w:hint="eastAsia" w:ascii="仿宋" w:hAnsi="仿宋" w:eastAsia="仿宋" w:cs="仿宋"/>
          <w:kern w:val="0"/>
          <w:sz w:val="32"/>
          <w:szCs w:val="32"/>
        </w:rPr>
        <w:t>，</w:t>
      </w:r>
      <w:r>
        <w:rPr>
          <w:rFonts w:ascii="仿宋" w:hAnsi="仿宋" w:eastAsia="仿宋" w:cs="仿宋"/>
          <w:kern w:val="0"/>
          <w:sz w:val="32"/>
          <w:szCs w:val="32"/>
        </w:rPr>
        <w:t>1</w:t>
      </w:r>
      <w:r>
        <w:rPr>
          <w:rFonts w:hint="eastAsia" w:ascii="仿宋" w:hAnsi="仿宋" w:eastAsia="仿宋" w:cs="仿宋"/>
          <w:kern w:val="0"/>
          <w:sz w:val="32"/>
          <w:szCs w:val="32"/>
        </w:rPr>
        <w:t>份由</w:t>
      </w:r>
      <w:r>
        <w:rPr>
          <w:rFonts w:ascii="仿宋" w:hAnsi="仿宋" w:eastAsia="仿宋" w:cs="仿宋"/>
          <w:kern w:val="0"/>
          <w:sz w:val="32"/>
          <w:szCs w:val="32"/>
        </w:rPr>
        <w:t>学生所在院</w:t>
      </w:r>
      <w:r>
        <w:rPr>
          <w:rFonts w:hint="eastAsia" w:ascii="仿宋" w:hAnsi="仿宋" w:eastAsia="仿宋" w:cs="仿宋"/>
          <w:kern w:val="0"/>
          <w:sz w:val="32"/>
          <w:szCs w:val="32"/>
        </w:rPr>
        <w:t>系留存至</w:t>
      </w:r>
      <w:r>
        <w:rPr>
          <w:rFonts w:ascii="仿宋" w:hAnsi="仿宋" w:eastAsia="仿宋" w:cs="仿宋"/>
          <w:kern w:val="0"/>
          <w:sz w:val="32"/>
          <w:szCs w:val="32"/>
        </w:rPr>
        <w:t>学生离校</w:t>
      </w:r>
      <w:r>
        <w:rPr>
          <w:rFonts w:hint="eastAsia" w:ascii="仿宋" w:hAnsi="仿宋" w:eastAsia="仿宋" w:cs="仿宋"/>
          <w:kern w:val="0"/>
          <w:sz w:val="32"/>
          <w:szCs w:val="32"/>
        </w:rPr>
        <w:t>前上交教务处统一</w:t>
      </w:r>
      <w:r>
        <w:rPr>
          <w:rFonts w:ascii="仿宋" w:hAnsi="仿宋" w:eastAsia="仿宋" w:cs="仿宋"/>
          <w:kern w:val="0"/>
          <w:sz w:val="32"/>
          <w:szCs w:val="32"/>
        </w:rPr>
        <w:t>存入学校档案馆</w:t>
      </w:r>
      <w:r>
        <w:rPr>
          <w:rFonts w:hint="eastAsia" w:ascii="仿宋" w:hAnsi="仿宋" w:eastAsia="仿宋" w:cs="仿宋"/>
          <w:kern w:val="0"/>
          <w:sz w:val="32"/>
          <w:szCs w:val="32"/>
        </w:rPr>
        <w:t>。</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2.学生所在院</w:t>
      </w:r>
      <w:r>
        <w:rPr>
          <w:rFonts w:hint="eastAsia" w:ascii="仿宋" w:hAnsi="仿宋" w:eastAsia="仿宋" w:cs="仿宋"/>
          <w:kern w:val="0"/>
          <w:sz w:val="32"/>
          <w:szCs w:val="32"/>
        </w:rPr>
        <w:t>系</w:t>
      </w:r>
      <w:r>
        <w:rPr>
          <w:rFonts w:ascii="仿宋" w:hAnsi="仿宋" w:eastAsia="仿宋" w:cs="仿宋"/>
          <w:kern w:val="0"/>
          <w:sz w:val="32"/>
          <w:szCs w:val="32"/>
        </w:rPr>
        <w:t>认为必要</w:t>
      </w:r>
      <w:r>
        <w:rPr>
          <w:rFonts w:hint="eastAsia" w:ascii="仿宋" w:hAnsi="仿宋" w:eastAsia="仿宋" w:cs="仿宋"/>
          <w:kern w:val="0"/>
          <w:sz w:val="32"/>
          <w:szCs w:val="32"/>
        </w:rPr>
        <w:t>的课程教学大纲、课程简介或者培养方案等材料。</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(二)课程认定依据</w:t>
      </w:r>
      <w:r>
        <w:rPr>
          <w:rFonts w:hint="eastAsia" w:ascii="仿宋" w:hAnsi="仿宋" w:eastAsia="仿宋" w:cs="仿宋"/>
          <w:kern w:val="0"/>
          <w:sz w:val="32"/>
          <w:szCs w:val="32"/>
        </w:rPr>
        <w:t>及</w:t>
      </w:r>
      <w:r>
        <w:rPr>
          <w:rFonts w:ascii="仿宋" w:hAnsi="仿宋" w:eastAsia="仿宋" w:cs="仿宋"/>
          <w:kern w:val="0"/>
          <w:sz w:val="32"/>
          <w:szCs w:val="32"/>
        </w:rPr>
        <w:t>结论:转入后,就读专业年级对应的</w:t>
      </w:r>
      <w:r>
        <w:rPr>
          <w:rFonts w:hint="eastAsia" w:ascii="仿宋" w:hAnsi="仿宋" w:eastAsia="仿宋" w:cs="仿宋"/>
          <w:kern w:val="0"/>
          <w:sz w:val="32"/>
          <w:szCs w:val="32"/>
        </w:rPr>
        <w:t>教学方案</w:t>
      </w:r>
      <w:r>
        <w:rPr>
          <w:rFonts w:ascii="仿宋" w:hAnsi="仿宋" w:eastAsia="仿宋" w:cs="仿宋"/>
          <w:kern w:val="0"/>
          <w:sz w:val="32"/>
          <w:szCs w:val="32"/>
        </w:rPr>
        <w:t>及课程教学大纲。能达到我校要求的,</w:t>
      </w:r>
      <w:r>
        <w:rPr>
          <w:rFonts w:hint="eastAsia" w:ascii="仿宋" w:hAnsi="仿宋" w:eastAsia="仿宋" w:cs="仿宋"/>
          <w:kern w:val="0"/>
          <w:sz w:val="32"/>
          <w:szCs w:val="32"/>
        </w:rPr>
        <w:t>予</w:t>
      </w:r>
      <w:r>
        <w:rPr>
          <w:rFonts w:ascii="仿宋" w:hAnsi="仿宋" w:eastAsia="仿宋" w:cs="仿宋"/>
          <w:kern w:val="0"/>
          <w:sz w:val="32"/>
          <w:szCs w:val="32"/>
        </w:rPr>
        <w:t>以记录成绩和学分;不能达到要求的,不予认定</w:t>
      </w:r>
      <w:r>
        <w:rPr>
          <w:rFonts w:hint="eastAsia" w:ascii="仿宋" w:hAnsi="仿宋" w:eastAsia="仿宋" w:cs="仿宋"/>
          <w:kern w:val="0"/>
          <w:sz w:val="32"/>
          <w:szCs w:val="32"/>
        </w:rPr>
        <w:t>。</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ascii="仿宋" w:hAnsi="仿宋" w:eastAsia="仿宋" w:cs="仿宋"/>
          <w:b/>
          <w:kern w:val="0"/>
          <w:sz w:val="32"/>
          <w:szCs w:val="32"/>
        </w:rPr>
        <w:t>第</w:t>
      </w:r>
      <w:r>
        <w:rPr>
          <w:rFonts w:hint="eastAsia" w:ascii="仿宋" w:hAnsi="仿宋" w:eastAsia="仿宋" w:cs="仿宋"/>
          <w:b/>
          <w:kern w:val="0"/>
          <w:sz w:val="32"/>
          <w:szCs w:val="32"/>
        </w:rPr>
        <w:t>七</w:t>
      </w:r>
      <w:r>
        <w:rPr>
          <w:rFonts w:ascii="仿宋" w:hAnsi="仿宋" w:eastAsia="仿宋" w:cs="仿宋"/>
          <w:b/>
          <w:kern w:val="0"/>
          <w:sz w:val="32"/>
          <w:szCs w:val="32"/>
        </w:rPr>
        <w:t>条</w:t>
      </w:r>
      <w:r>
        <w:rPr>
          <w:rFonts w:hint="eastAsia" w:ascii="仿宋" w:hAnsi="仿宋" w:eastAsia="仿宋" w:cs="仿宋"/>
          <w:kern w:val="0"/>
          <w:sz w:val="32"/>
          <w:szCs w:val="32"/>
        </w:rPr>
        <w:t xml:space="preserve"> </w:t>
      </w:r>
      <w:r>
        <w:rPr>
          <w:rFonts w:ascii="仿宋" w:hAnsi="仿宋" w:eastAsia="仿宋" w:cs="仿宋"/>
          <w:kern w:val="0"/>
          <w:sz w:val="32"/>
          <w:szCs w:val="32"/>
        </w:rPr>
        <w:t>转专业学生</w:t>
      </w:r>
      <w:r>
        <w:rPr>
          <w:rFonts w:hint="eastAsia" w:ascii="仿宋" w:hAnsi="仿宋" w:eastAsia="仿宋" w:cs="仿宋"/>
          <w:kern w:val="0"/>
          <w:sz w:val="32"/>
          <w:szCs w:val="32"/>
        </w:rPr>
        <w:t>课程及学分认定：</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课程及学分认定依据及结论：转专业前课程及学分可直接予以学分认定，载入学生成绩档案，转专业前未通过课程必须进行课程重修。转专业后学生所在院（系）须结合转入专业人才教学大纲，如确有先修后续关系的课程应制定课程补修计划。</w:t>
      </w:r>
    </w:p>
    <w:p>
      <w:pPr>
        <w:widowControl/>
        <w:adjustRightInd w:val="0"/>
        <w:snapToGrid w:val="0"/>
        <w:spacing w:line="560" w:lineRule="exact"/>
        <w:ind w:firstLine="643" w:firstLineChars="200"/>
        <w:rPr>
          <w:rFonts w:ascii="宋体" w:hAnsi="宋体" w:eastAsia="宋体" w:cs="宋体"/>
          <w:kern w:val="0"/>
          <w:sz w:val="20"/>
          <w:szCs w:val="20"/>
        </w:rPr>
      </w:pPr>
      <w:r>
        <w:rPr>
          <w:rFonts w:ascii="仿宋" w:hAnsi="仿宋" w:eastAsia="仿宋" w:cs="仿宋"/>
          <w:b/>
          <w:kern w:val="0"/>
          <w:sz w:val="32"/>
          <w:szCs w:val="32"/>
        </w:rPr>
        <w:t>第</w:t>
      </w:r>
      <w:r>
        <w:rPr>
          <w:rFonts w:hint="eastAsia" w:ascii="仿宋" w:hAnsi="仿宋" w:eastAsia="仿宋" w:cs="仿宋"/>
          <w:b/>
          <w:kern w:val="0"/>
          <w:sz w:val="32"/>
          <w:szCs w:val="32"/>
        </w:rPr>
        <w:t>八</w:t>
      </w:r>
      <w:r>
        <w:rPr>
          <w:rFonts w:ascii="仿宋" w:hAnsi="仿宋" w:eastAsia="仿宋" w:cs="仿宋"/>
          <w:b/>
          <w:kern w:val="0"/>
          <w:sz w:val="32"/>
          <w:szCs w:val="32"/>
        </w:rPr>
        <w:t>条</w:t>
      </w:r>
      <w:r>
        <w:rPr>
          <w:rFonts w:hint="eastAsia" w:ascii="仿宋" w:hAnsi="仿宋" w:eastAsia="仿宋" w:cs="仿宋"/>
          <w:b/>
          <w:kern w:val="0"/>
          <w:sz w:val="32"/>
          <w:szCs w:val="32"/>
        </w:rPr>
        <w:t xml:space="preserve"> </w:t>
      </w:r>
      <w:r>
        <w:rPr>
          <w:rFonts w:hint="eastAsia" w:ascii="仿宋" w:hAnsi="仿宋" w:eastAsia="仿宋" w:cs="仿宋"/>
          <w:kern w:val="0"/>
          <w:sz w:val="32"/>
          <w:szCs w:val="32"/>
        </w:rPr>
        <w:t xml:space="preserve">转专业学生按转出专业年级、转入专业年级专业培养方案分段进行毕业审核。 </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第九条</w:t>
      </w:r>
      <w:r>
        <w:rPr>
          <w:rFonts w:hint="eastAsia" w:ascii="仿宋" w:hAnsi="仿宋" w:eastAsia="仿宋" w:cs="仿宋"/>
          <w:kern w:val="0"/>
          <w:sz w:val="32"/>
          <w:szCs w:val="32"/>
        </w:rPr>
        <w:t xml:space="preserve"> 复学、应征入伍退役后恢复学籍（含学籍异动期间培养方案调整情况）学生课程及学分认定：</w:t>
      </w:r>
    </w:p>
    <w:p>
      <w:pPr>
        <w:widowControl/>
        <w:adjustRightInd w:val="0"/>
        <w:snapToGrid w:val="0"/>
        <w:spacing w:beforeLines="50" w:afterLines="50"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（一）学籍异动后需要课程成绩替代的,由学生本人向所在院系提出课程替代申请, 院系教学管理部门应结合专业人才培养方案给予具体指导。可以替代的课程,予以记录成绩和学分;不能替代的,按照公共选修课处理,保留成绩。</w:t>
      </w:r>
    </w:p>
    <w:p>
      <w:pPr>
        <w:widowControl/>
        <w:adjustRightInd w:val="0"/>
        <w:snapToGrid w:val="0"/>
        <w:spacing w:beforeLines="50" w:afterLines="50"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（二）对于因培养方案调整造成课程变化(课程名、课程号、学分不一致)的课程，能达到异动后专业年级要求的可对应认定,予以成绩和学分认定。</w:t>
      </w:r>
    </w:p>
    <w:p>
      <w:pPr>
        <w:widowControl/>
        <w:adjustRightInd w:val="0"/>
        <w:snapToGrid w:val="0"/>
        <w:spacing w:beforeLines="50" w:afterLines="50"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第十条</w:t>
      </w:r>
      <w:r>
        <w:rPr>
          <w:rFonts w:hint="eastAsia" w:ascii="仿宋" w:hAnsi="仿宋" w:eastAsia="仿宋" w:cs="仿宋"/>
          <w:kern w:val="0"/>
          <w:sz w:val="32"/>
          <w:szCs w:val="32"/>
        </w:rPr>
        <w:t xml:space="preserve"> 应征入伍保留学籍的学生退役复学后，可附《</w:t>
      </w:r>
      <w:r>
        <w:rPr>
          <w:rFonts w:ascii="仿宋" w:hAnsi="仿宋" w:eastAsia="仿宋" w:cs="仿宋"/>
          <w:kern w:val="0"/>
          <w:sz w:val="32"/>
          <w:szCs w:val="32"/>
        </w:rPr>
        <w:t>中国人民解放军义务兵退出现役证</w:t>
      </w:r>
      <w:r>
        <w:rPr>
          <w:rFonts w:hint="eastAsia" w:ascii="仿宋" w:hAnsi="仿宋" w:eastAsia="仿宋" w:cs="仿宋"/>
          <w:kern w:val="0"/>
          <w:sz w:val="32"/>
          <w:szCs w:val="32"/>
        </w:rPr>
        <w:t>》《</w:t>
      </w:r>
      <w:r>
        <w:rPr>
          <w:rFonts w:ascii="仿宋" w:hAnsi="仿宋" w:eastAsia="仿宋" w:cs="仿宋"/>
          <w:kern w:val="0"/>
          <w:sz w:val="32"/>
          <w:szCs w:val="32"/>
        </w:rPr>
        <w:t>中国人民武装警察部队义务兵退出现役证</w:t>
      </w:r>
      <w:r>
        <w:rPr>
          <w:rFonts w:hint="eastAsia" w:ascii="仿宋" w:hAnsi="仿宋" w:eastAsia="仿宋" w:cs="仿宋"/>
          <w:kern w:val="0"/>
          <w:sz w:val="32"/>
          <w:szCs w:val="32"/>
        </w:rPr>
        <w:t>》复印件，填写《青海大学本科生课程学分认定申请表》，认定军事技能和军事理论课程，相应课程以95分记，予以免修。</w:t>
      </w: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numPr>
          <w:ilvl w:val="0"/>
          <w:numId w:val="1"/>
        </w:numPr>
        <w:adjustRightInd w:val="0"/>
        <w:snapToGrid w:val="0"/>
        <w:spacing w:line="560" w:lineRule="exact"/>
        <w:ind w:firstLine="643" w:firstLineChars="200"/>
        <w:jc w:val="left"/>
        <w:rPr>
          <w:rFonts w:ascii="仿宋" w:hAnsi="仿宋" w:eastAsia="仿宋" w:cs="仿宋"/>
          <w:b/>
          <w:kern w:val="0"/>
          <w:sz w:val="32"/>
          <w:szCs w:val="32"/>
        </w:rPr>
      </w:pPr>
      <w:r>
        <w:rPr>
          <w:rFonts w:hint="eastAsia" w:ascii="仿宋" w:hAnsi="仿宋" w:eastAsia="仿宋" w:cs="仿宋"/>
          <w:b/>
          <w:kern w:val="0"/>
          <w:sz w:val="32"/>
          <w:szCs w:val="32"/>
        </w:rPr>
        <w:t xml:space="preserve"> 国内交流学习学生课程成绩及学分认定</w:t>
      </w:r>
    </w:p>
    <w:p>
      <w:pPr>
        <w:widowControl/>
        <w:adjustRightInd w:val="0"/>
        <w:snapToGrid w:val="0"/>
        <w:spacing w:beforeLines="50" w:afterLines="50"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第十一条</w:t>
      </w:r>
      <w:r>
        <w:rPr>
          <w:rFonts w:hint="eastAsia" w:ascii="仿宋" w:hAnsi="仿宋" w:eastAsia="仿宋" w:cs="仿宋"/>
          <w:kern w:val="0"/>
          <w:sz w:val="32"/>
          <w:szCs w:val="32"/>
        </w:rPr>
        <w:t xml:space="preserve"> 由学校选派至其它高校交流学习的学生，如期完成双方学校备案的培养方案规定课程的学习、考核合格，所学课程学分予以认定。</w:t>
      </w:r>
    </w:p>
    <w:p>
      <w:pPr>
        <w:widowControl/>
        <w:numPr>
          <w:ilvl w:val="0"/>
          <w:numId w:val="2"/>
        </w:numPr>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需要提交的证明材料</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交流学校负责出具学生成绩单或学习证明和交流学习考评意见。交流学校出具的成绩单原件1份(复印2份备用，用途同外校转入学生)。</w:t>
      </w:r>
    </w:p>
    <w:p>
      <w:pPr>
        <w:widowControl/>
        <w:numPr>
          <w:ilvl w:val="0"/>
          <w:numId w:val="2"/>
        </w:numPr>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课程认定</w:t>
      </w:r>
      <w:r>
        <w:rPr>
          <w:rFonts w:hint="eastAsia" w:ascii="仿宋" w:hAnsi="仿宋" w:eastAsia="仿宋" w:cs="仿宋"/>
          <w:kern w:val="0"/>
          <w:sz w:val="32"/>
          <w:szCs w:val="32"/>
        </w:rPr>
        <w:t>依据及结论</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依据双方学校备案的培养方案，</w:t>
      </w:r>
      <w:r>
        <w:rPr>
          <w:rFonts w:ascii="仿宋" w:hAnsi="仿宋" w:eastAsia="仿宋" w:cs="仿宋"/>
          <w:kern w:val="0"/>
          <w:sz w:val="32"/>
          <w:szCs w:val="32"/>
        </w:rPr>
        <w:t>达到</w:t>
      </w:r>
      <w:r>
        <w:rPr>
          <w:rFonts w:hint="eastAsia" w:ascii="仿宋" w:hAnsi="仿宋" w:eastAsia="仿宋" w:cs="仿宋"/>
          <w:kern w:val="0"/>
          <w:sz w:val="32"/>
          <w:szCs w:val="32"/>
        </w:rPr>
        <w:t>课程教学内容（要求）且</w:t>
      </w:r>
      <w:r>
        <w:rPr>
          <w:rFonts w:ascii="仿宋" w:hAnsi="仿宋" w:eastAsia="仿宋" w:cs="仿宋"/>
          <w:kern w:val="0"/>
          <w:sz w:val="32"/>
          <w:szCs w:val="32"/>
        </w:rPr>
        <w:t>考试成绩合格</w:t>
      </w:r>
      <w:r>
        <w:rPr>
          <w:rFonts w:hint="eastAsia" w:ascii="仿宋" w:hAnsi="仿宋" w:eastAsia="仿宋" w:cs="仿宋"/>
          <w:kern w:val="0"/>
          <w:sz w:val="32"/>
          <w:szCs w:val="32"/>
        </w:rPr>
        <w:t>，予</w:t>
      </w:r>
      <w:r>
        <w:rPr>
          <w:rFonts w:ascii="仿宋" w:hAnsi="仿宋" w:eastAsia="仿宋" w:cs="仿宋"/>
          <w:kern w:val="0"/>
          <w:sz w:val="32"/>
          <w:szCs w:val="32"/>
        </w:rPr>
        <w:t>以</w:t>
      </w:r>
      <w:r>
        <w:rPr>
          <w:rFonts w:hint="eastAsia" w:ascii="仿宋" w:hAnsi="仿宋" w:eastAsia="仿宋" w:cs="仿宋"/>
          <w:kern w:val="0"/>
          <w:sz w:val="32"/>
          <w:szCs w:val="32"/>
        </w:rPr>
        <w:t>认定</w:t>
      </w:r>
      <w:r>
        <w:rPr>
          <w:rFonts w:ascii="仿宋" w:hAnsi="仿宋" w:eastAsia="仿宋" w:cs="仿宋"/>
          <w:kern w:val="0"/>
          <w:sz w:val="32"/>
          <w:szCs w:val="32"/>
        </w:rPr>
        <w:t>成绩和学分;</w:t>
      </w:r>
      <w:r>
        <w:rPr>
          <w:rFonts w:hint="eastAsia" w:ascii="仿宋" w:hAnsi="仿宋" w:eastAsia="仿宋" w:cs="仿宋"/>
          <w:kern w:val="0"/>
          <w:sz w:val="32"/>
          <w:szCs w:val="32"/>
        </w:rPr>
        <w:t>未通过课程不予</w:t>
      </w:r>
      <w:r>
        <w:rPr>
          <w:rFonts w:ascii="仿宋" w:hAnsi="仿宋" w:eastAsia="仿宋" w:cs="仿宋"/>
          <w:kern w:val="0"/>
          <w:sz w:val="32"/>
          <w:szCs w:val="32"/>
        </w:rPr>
        <w:t>成绩和学分</w:t>
      </w:r>
      <w:r>
        <w:rPr>
          <w:rFonts w:hint="eastAsia" w:ascii="仿宋" w:hAnsi="仿宋" w:eastAsia="仿宋" w:cs="仿宋"/>
          <w:kern w:val="0"/>
          <w:sz w:val="32"/>
          <w:szCs w:val="32"/>
        </w:rPr>
        <w:t>认定，由所在院系根据专业培养方案确定是否需要重修或补修课程，并报教务处。</w:t>
      </w:r>
    </w:p>
    <w:p>
      <w:pPr>
        <w:widowControl/>
        <w:adjustRightInd w:val="0"/>
        <w:snapToGrid w:val="0"/>
        <w:spacing w:line="560" w:lineRule="exact"/>
        <w:jc w:val="left"/>
        <w:rPr>
          <w:rFonts w:ascii="仿宋" w:hAnsi="仿宋" w:eastAsia="仿宋" w:cs="仿宋"/>
          <w:kern w:val="0"/>
          <w:sz w:val="32"/>
          <w:szCs w:val="32"/>
        </w:rPr>
      </w:pPr>
    </w:p>
    <w:p>
      <w:pPr>
        <w:widowControl/>
        <w:adjustRightInd w:val="0"/>
        <w:snapToGrid w:val="0"/>
        <w:spacing w:afterLines="100" w:line="560" w:lineRule="exact"/>
        <w:ind w:firstLine="643" w:firstLineChars="200"/>
        <w:jc w:val="left"/>
        <w:rPr>
          <w:rFonts w:ascii="仿宋" w:hAnsi="仿宋" w:eastAsia="仿宋" w:cs="仿宋"/>
          <w:b/>
          <w:kern w:val="0"/>
          <w:sz w:val="32"/>
          <w:szCs w:val="32"/>
        </w:rPr>
      </w:pPr>
      <w:r>
        <w:rPr>
          <w:rFonts w:hint="eastAsia" w:ascii="仿宋" w:hAnsi="仿宋" w:eastAsia="仿宋" w:cs="仿宋"/>
          <w:b/>
          <w:kern w:val="0"/>
          <w:sz w:val="32"/>
          <w:szCs w:val="32"/>
        </w:rPr>
        <w:t>第四章  赴国（境）外学习学生课程成绩及学分认定</w:t>
      </w:r>
    </w:p>
    <w:p>
      <w:pPr>
        <w:widowControl/>
        <w:adjustRightInd w:val="0"/>
        <w:snapToGrid w:val="0"/>
        <w:spacing w:beforeLines="50" w:afterLines="50" w:line="360" w:lineRule="auto"/>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第十二条</w:t>
      </w:r>
      <w:r>
        <w:rPr>
          <w:rFonts w:hint="eastAsia" w:ascii="仿宋" w:hAnsi="仿宋" w:eastAsia="仿宋" w:cs="仿宋"/>
          <w:kern w:val="0"/>
          <w:sz w:val="32"/>
          <w:szCs w:val="32"/>
        </w:rPr>
        <w:t xml:space="preserve"> 经个人申请、学校审批同意赴国（境）外交流学习的学生，在联合培养期间修读的课程进行课程学分认定。</w:t>
      </w:r>
    </w:p>
    <w:p>
      <w:pPr>
        <w:widowControl/>
        <w:adjustRightInd w:val="0"/>
        <w:snapToGrid w:val="0"/>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（一）需要提交的证明材料:</w:t>
      </w:r>
    </w:p>
    <w:p>
      <w:pPr>
        <w:widowControl/>
        <w:adjustRightInd w:val="0"/>
        <w:snapToGrid w:val="0"/>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1.海外联合培养学校出具的成绩单原件1份(复印2份备用，用途同外校转入学生)； </w:t>
      </w:r>
    </w:p>
    <w:p>
      <w:pPr>
        <w:widowControl/>
        <w:adjustRightInd w:val="0"/>
        <w:snapToGrid w:val="0"/>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2.校外事暨港澳台事务工作管理办公室出具的是否如期完成双方学校备案的培养方案的证明； </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3.经学生所在学院和校外事暨港澳台事务工作管理办公室审核盖章成绩单中文翻译件1份； </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4.双方学校备案的培养方案或者课程修读计划1份;</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（二）</w:t>
      </w:r>
      <w:r>
        <w:rPr>
          <w:rFonts w:ascii="仿宋" w:hAnsi="仿宋" w:eastAsia="仿宋" w:cs="仿宋"/>
          <w:kern w:val="0"/>
          <w:sz w:val="32"/>
          <w:szCs w:val="32"/>
        </w:rPr>
        <w:t>课程认定</w:t>
      </w:r>
      <w:r>
        <w:rPr>
          <w:rFonts w:hint="eastAsia" w:ascii="仿宋" w:hAnsi="仿宋" w:eastAsia="仿宋" w:cs="仿宋"/>
          <w:kern w:val="0"/>
          <w:sz w:val="32"/>
          <w:szCs w:val="32"/>
        </w:rPr>
        <w:t>依据及结论</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1.如期完成双方学校备案的培养方案规定课程的学生,对照</w:t>
      </w:r>
      <w:r>
        <w:rPr>
          <w:rFonts w:hint="eastAsia" w:ascii="仿宋" w:hAnsi="仿宋" w:eastAsia="仿宋" w:cs="仿宋"/>
          <w:kern w:val="0"/>
          <w:sz w:val="32"/>
          <w:szCs w:val="32"/>
        </w:rPr>
        <w:t>备</w:t>
      </w:r>
      <w:r>
        <w:rPr>
          <w:rFonts w:ascii="仿宋" w:hAnsi="仿宋" w:eastAsia="仿宋" w:cs="仿宋"/>
          <w:kern w:val="0"/>
          <w:sz w:val="32"/>
          <w:szCs w:val="32"/>
        </w:rPr>
        <w:t>案的培养方案及课程教学大纲,对学生在联合培养期间修读的课程进行课程与学分认定;</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ascii="仿宋" w:hAnsi="仿宋" w:eastAsia="仿宋" w:cs="仿宋"/>
          <w:kern w:val="0"/>
          <w:sz w:val="32"/>
          <w:szCs w:val="32"/>
        </w:rPr>
        <w:t>2.未</w:t>
      </w:r>
      <w:r>
        <w:rPr>
          <w:rFonts w:hint="eastAsia" w:ascii="仿宋" w:hAnsi="仿宋" w:eastAsia="仿宋" w:cs="仿宋"/>
          <w:kern w:val="0"/>
          <w:sz w:val="32"/>
          <w:szCs w:val="32"/>
        </w:rPr>
        <w:t>按期</w:t>
      </w:r>
      <w:r>
        <w:rPr>
          <w:rFonts w:ascii="仿宋" w:hAnsi="仿宋" w:eastAsia="仿宋" w:cs="仿宋"/>
          <w:kern w:val="0"/>
          <w:sz w:val="32"/>
          <w:szCs w:val="32"/>
        </w:rPr>
        <w:t>完成双方学校备案的培养方</w:t>
      </w:r>
      <w:r>
        <w:rPr>
          <w:rFonts w:hint="eastAsia" w:ascii="仿宋" w:hAnsi="仿宋" w:eastAsia="仿宋" w:cs="仿宋"/>
          <w:kern w:val="0"/>
          <w:sz w:val="32"/>
          <w:szCs w:val="32"/>
        </w:rPr>
        <w:t>案</w:t>
      </w:r>
      <w:r>
        <w:rPr>
          <w:rFonts w:ascii="仿宋" w:hAnsi="仿宋" w:eastAsia="仿宋" w:cs="仿宋"/>
          <w:kern w:val="0"/>
          <w:sz w:val="32"/>
          <w:szCs w:val="32"/>
        </w:rPr>
        <w:t>规定课程或中途退出联合培养项目的学生,</w:t>
      </w:r>
      <w:r>
        <w:rPr>
          <w:rFonts w:hint="eastAsia" w:ascii="仿宋" w:hAnsi="仿宋" w:eastAsia="仿宋" w:cs="仿宋"/>
          <w:kern w:val="0"/>
          <w:sz w:val="32"/>
          <w:szCs w:val="32"/>
        </w:rPr>
        <w:t>须由所在院系</w:t>
      </w:r>
      <w:r>
        <w:rPr>
          <w:rFonts w:ascii="仿宋" w:hAnsi="仿宋" w:eastAsia="仿宋" w:cs="仿宋"/>
          <w:kern w:val="0"/>
          <w:sz w:val="32"/>
          <w:szCs w:val="32"/>
        </w:rPr>
        <w:t>对照返校后就读专业年级的培养方案及教学大纲</w:t>
      </w:r>
      <w:r>
        <w:rPr>
          <w:rFonts w:hint="eastAsia" w:ascii="仿宋" w:hAnsi="仿宋" w:eastAsia="仿宋" w:cs="仿宋"/>
          <w:kern w:val="0"/>
          <w:sz w:val="32"/>
          <w:szCs w:val="32"/>
        </w:rPr>
        <w:t>确定是否需要补修或重修课程，并报教务处。</w:t>
      </w:r>
    </w:p>
    <w:p>
      <w:pPr>
        <w:widowControl/>
        <w:adjustRightInd w:val="0"/>
        <w:snapToGrid w:val="0"/>
        <w:spacing w:line="560" w:lineRule="exact"/>
        <w:ind w:firstLine="643" w:firstLineChars="200"/>
        <w:jc w:val="center"/>
        <w:rPr>
          <w:rFonts w:ascii="仿宋" w:hAnsi="仿宋" w:eastAsia="仿宋" w:cs="仿宋"/>
          <w:b/>
          <w:kern w:val="0"/>
          <w:sz w:val="32"/>
          <w:szCs w:val="32"/>
        </w:rPr>
      </w:pPr>
    </w:p>
    <w:p>
      <w:pPr>
        <w:widowControl/>
        <w:adjustRightInd w:val="0"/>
        <w:snapToGrid w:val="0"/>
        <w:spacing w:line="560" w:lineRule="exact"/>
        <w:ind w:firstLine="643" w:firstLineChars="200"/>
        <w:jc w:val="center"/>
        <w:rPr>
          <w:rFonts w:ascii="仿宋" w:hAnsi="仿宋" w:eastAsia="仿宋" w:cs="仿宋"/>
          <w:b/>
          <w:kern w:val="0"/>
          <w:sz w:val="32"/>
          <w:szCs w:val="32"/>
        </w:rPr>
      </w:pPr>
      <w:r>
        <w:rPr>
          <w:rFonts w:hint="eastAsia" w:ascii="仿宋" w:hAnsi="仿宋" w:eastAsia="仿宋" w:cs="仿宋"/>
          <w:b/>
          <w:kern w:val="0"/>
          <w:sz w:val="32"/>
          <w:szCs w:val="32"/>
        </w:rPr>
        <w:t>第五章 网络课程及在线开放课程及学分认定</w:t>
      </w:r>
    </w:p>
    <w:p>
      <w:pPr>
        <w:widowControl/>
        <w:adjustRightInd w:val="0"/>
        <w:snapToGrid w:val="0"/>
        <w:spacing w:beforeLines="50" w:afterLines="50"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第十三条</w:t>
      </w:r>
      <w:r>
        <w:rPr>
          <w:rFonts w:hint="eastAsia" w:ascii="仿宋" w:hAnsi="仿宋" w:eastAsia="仿宋" w:cs="仿宋"/>
          <w:kern w:val="0"/>
          <w:sz w:val="32"/>
          <w:szCs w:val="32"/>
        </w:rPr>
        <w:t xml:space="preserve">  鼓励学生通过在线学习、在线学习与课堂教学相结合等多种方式学习社会人文、自然科学、工程与技术科学等优质课程。</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第十四条</w:t>
      </w:r>
      <w:r>
        <w:rPr>
          <w:rFonts w:hint="eastAsia" w:ascii="仿宋" w:hAnsi="仿宋" w:eastAsia="仿宋" w:cs="仿宋"/>
          <w:kern w:val="0"/>
          <w:sz w:val="32"/>
          <w:szCs w:val="32"/>
        </w:rPr>
        <w:t xml:space="preserve"> 由学校认定开设,并安排线下辅导老师的课程，学校统一安排上课时间与地点,课程结束后,由线下辅导老师负责考核并提交课程成绩，按百分制将成绩统一录入学校教务管理系统。 </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第十五条</w:t>
      </w:r>
      <w:r>
        <w:rPr>
          <w:rFonts w:hint="eastAsia" w:ascii="仿宋" w:hAnsi="仿宋" w:eastAsia="仿宋" w:cs="仿宋"/>
          <w:kern w:val="0"/>
          <w:sz w:val="32"/>
          <w:szCs w:val="32"/>
        </w:rPr>
        <w:t xml:space="preserve"> 由学校认定开设,采用网上自主学习。学校不统一安排上课时间、地点,学生根据自身时间完成课程的学习任务。课程线束后,由网络平台方提供百分制学生学习成绩，教务处审核通过后,由教务处统一录入学校</w:t>
      </w:r>
      <w:r>
        <w:rPr>
          <w:rFonts w:hint="eastAsia" w:ascii="仿宋" w:hAnsi="仿宋" w:eastAsia="仿宋" w:cs="仿宋"/>
          <w:kern w:val="0"/>
          <w:sz w:val="32"/>
          <w:szCs w:val="32"/>
          <w:lang w:eastAsia="zh-CN"/>
        </w:rPr>
        <w:t>教</w:t>
      </w:r>
      <w:bookmarkStart w:id="1" w:name="_GoBack"/>
      <w:bookmarkEnd w:id="1"/>
      <w:r>
        <w:rPr>
          <w:rFonts w:hint="eastAsia" w:ascii="仿宋" w:hAnsi="仿宋" w:eastAsia="仿宋" w:cs="仿宋"/>
          <w:kern w:val="0"/>
          <w:sz w:val="32"/>
          <w:szCs w:val="32"/>
        </w:rPr>
        <w:t>务管理系统。</w:t>
      </w:r>
    </w:p>
    <w:p>
      <w:pPr>
        <w:widowControl/>
        <w:adjustRightInd w:val="0"/>
        <w:snapToGrid w:val="0"/>
        <w:spacing w:line="560" w:lineRule="exact"/>
        <w:jc w:val="center"/>
        <w:rPr>
          <w:rFonts w:ascii="仿宋" w:hAnsi="仿宋" w:eastAsia="仿宋" w:cs="仿宋"/>
          <w:b/>
          <w:kern w:val="0"/>
          <w:sz w:val="32"/>
          <w:szCs w:val="32"/>
        </w:rPr>
      </w:pPr>
    </w:p>
    <w:p>
      <w:pPr>
        <w:widowControl/>
        <w:adjustRightInd w:val="0"/>
        <w:snapToGrid w:val="0"/>
        <w:spacing w:line="560" w:lineRule="exact"/>
        <w:jc w:val="center"/>
        <w:rPr>
          <w:rFonts w:ascii="仿宋" w:hAnsi="仿宋" w:eastAsia="仿宋" w:cs="仿宋"/>
          <w:b/>
          <w:kern w:val="0"/>
          <w:sz w:val="32"/>
          <w:szCs w:val="32"/>
        </w:rPr>
      </w:pPr>
      <w:r>
        <w:rPr>
          <w:rFonts w:hint="eastAsia" w:ascii="仿宋" w:hAnsi="仿宋" w:eastAsia="仿宋" w:cs="仿宋"/>
          <w:b/>
          <w:kern w:val="0"/>
          <w:sz w:val="32"/>
          <w:szCs w:val="32"/>
        </w:rPr>
        <w:t>第六章  创新、创业学分认定</w:t>
      </w:r>
    </w:p>
    <w:p>
      <w:pPr>
        <w:widowControl/>
        <w:adjustRightInd w:val="0"/>
        <w:snapToGrid w:val="0"/>
        <w:spacing w:beforeLines="50" w:afterLines="50"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第十六条</w:t>
      </w:r>
      <w:r>
        <w:rPr>
          <w:rFonts w:hint="eastAsia" w:ascii="仿宋" w:hAnsi="仿宋" w:eastAsia="仿宋" w:cs="仿宋"/>
          <w:kern w:val="0"/>
          <w:sz w:val="32"/>
          <w:szCs w:val="32"/>
        </w:rPr>
        <w:t xml:space="preserve"> 鼓励在校本科生积极参加创新创业实践活动，创新、创业学分认定按《青海大学创新创业实践学分认定及课程免修实施办法（试行）》执行。</w:t>
      </w:r>
    </w:p>
    <w:p>
      <w:pPr>
        <w:widowControl/>
        <w:adjustRightInd w:val="0"/>
        <w:snapToGrid w:val="0"/>
        <w:spacing w:line="560" w:lineRule="exact"/>
        <w:ind w:firstLine="640" w:firstLineChars="200"/>
        <w:jc w:val="center"/>
        <w:rPr>
          <w:rFonts w:ascii="仿宋" w:hAnsi="仿宋" w:eastAsia="仿宋" w:cs="仿宋"/>
          <w:kern w:val="0"/>
          <w:sz w:val="32"/>
          <w:szCs w:val="32"/>
        </w:rPr>
      </w:pPr>
    </w:p>
    <w:p>
      <w:pPr>
        <w:widowControl/>
        <w:adjustRightInd w:val="0"/>
        <w:snapToGrid w:val="0"/>
        <w:spacing w:line="560" w:lineRule="exact"/>
        <w:jc w:val="center"/>
        <w:rPr>
          <w:rFonts w:ascii="仿宋" w:hAnsi="仿宋" w:eastAsia="仿宋" w:cs="仿宋"/>
          <w:b/>
          <w:kern w:val="0"/>
          <w:sz w:val="32"/>
          <w:szCs w:val="32"/>
        </w:rPr>
      </w:pPr>
      <w:r>
        <w:rPr>
          <w:rFonts w:hint="eastAsia" w:ascii="仿宋" w:hAnsi="仿宋" w:eastAsia="仿宋" w:cs="仿宋"/>
          <w:b/>
          <w:kern w:val="0"/>
          <w:sz w:val="32"/>
          <w:szCs w:val="32"/>
        </w:rPr>
        <w:t>第七章 成绩换算方法</w:t>
      </w:r>
    </w:p>
    <w:p>
      <w:pPr>
        <w:widowControl/>
        <w:adjustRightInd w:val="0"/>
        <w:snapToGrid w:val="0"/>
        <w:spacing w:beforeLines="50" w:afterLines="50" w:line="560" w:lineRule="exact"/>
        <w:ind w:firstLine="643" w:firstLineChars="200"/>
        <w:rPr>
          <w:rFonts w:ascii="仿宋" w:hAnsi="仿宋" w:eastAsia="仿宋" w:cs="仿宋"/>
          <w:kern w:val="0"/>
          <w:sz w:val="32"/>
          <w:szCs w:val="32"/>
        </w:rPr>
      </w:pPr>
      <w:r>
        <w:rPr>
          <w:rFonts w:hint="eastAsia" w:ascii="仿宋" w:hAnsi="仿宋" w:eastAsia="仿宋" w:cs="仿宋"/>
          <w:b/>
          <w:kern w:val="0"/>
          <w:sz w:val="32"/>
          <w:szCs w:val="32"/>
        </w:rPr>
        <w:t xml:space="preserve">第十七条 </w:t>
      </w:r>
      <w:r>
        <w:rPr>
          <w:rFonts w:hint="eastAsia" w:ascii="仿宋" w:hAnsi="仿宋" w:eastAsia="仿宋" w:cs="仿宋"/>
          <w:kern w:val="0"/>
          <w:sz w:val="32"/>
          <w:szCs w:val="32"/>
        </w:rPr>
        <w:t>认定后的课程成绩与学分均在教务管理系统中予以记载，并纳入学业平均绩点分计算。学生可通过教务管理系统查询。</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（一）外校提供的成绩单不是百分制且外校对成绩标准无特别说明时,参考如下标准进行。</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1.外校成绩评定标准为A、B、C、D、F五个等级时,可作如下转换:</w:t>
      </w:r>
    </w:p>
    <w:tbl>
      <w:tblPr>
        <w:tblStyle w:val="7"/>
        <w:tblW w:w="6690" w:type="dxa"/>
        <w:jc w:val="center"/>
        <w:tblInd w:w="-4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8"/>
        <w:gridCol w:w="1338"/>
        <w:gridCol w:w="1338"/>
        <w:gridCol w:w="1338"/>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8"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A:95</w:t>
            </w:r>
          </w:p>
        </w:tc>
        <w:tc>
          <w:tcPr>
            <w:tcW w:w="1338"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B:8</w:t>
            </w:r>
            <w:r>
              <w:rPr>
                <w:rFonts w:hint="eastAsia" w:ascii="仿宋" w:hAnsi="仿宋" w:eastAsia="仿宋" w:cs="仿宋"/>
                <w:sz w:val="28"/>
                <w:szCs w:val="28"/>
              </w:rPr>
              <w:t>5</w:t>
            </w:r>
          </w:p>
        </w:tc>
        <w:tc>
          <w:tcPr>
            <w:tcW w:w="1338"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C:75</w:t>
            </w:r>
          </w:p>
        </w:tc>
        <w:tc>
          <w:tcPr>
            <w:tcW w:w="1338"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D:65</w:t>
            </w:r>
          </w:p>
        </w:tc>
        <w:tc>
          <w:tcPr>
            <w:tcW w:w="1338"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F:55</w:t>
            </w:r>
          </w:p>
        </w:tc>
      </w:tr>
    </w:tbl>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2.外校成绩评定标准为A+、A、A-、B+、B、B-、C+、C、C-、D+、D、D-、F+、F时,可作如下转换：</w:t>
      </w:r>
    </w:p>
    <w:tbl>
      <w:tblPr>
        <w:tblStyle w:val="7"/>
        <w:tblW w:w="6681" w:type="dxa"/>
        <w:tblInd w:w="9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336"/>
        <w:gridCol w:w="1336"/>
        <w:gridCol w:w="1336"/>
        <w:gridCol w:w="13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tcPr>
          <w:p>
            <w:pPr>
              <w:widowControl/>
              <w:adjustRightInd w:val="0"/>
              <w:snapToGrid w:val="0"/>
              <w:jc w:val="left"/>
              <w:rPr>
                <w:rFonts w:ascii="仿宋" w:hAnsi="仿宋" w:eastAsia="仿宋" w:cs="仿宋"/>
                <w:sz w:val="28"/>
                <w:szCs w:val="28"/>
              </w:rPr>
            </w:pPr>
            <w:r>
              <w:rPr>
                <w:rFonts w:hint="eastAsia" w:ascii="仿宋" w:hAnsi="仿宋" w:eastAsia="仿宋" w:cs="仿宋"/>
                <w:sz w:val="28"/>
                <w:szCs w:val="28"/>
              </w:rPr>
              <w:t>A+:100</w:t>
            </w:r>
          </w:p>
        </w:tc>
        <w:tc>
          <w:tcPr>
            <w:tcW w:w="1336" w:type="dxa"/>
          </w:tcPr>
          <w:p>
            <w:pPr>
              <w:widowControl/>
              <w:adjustRightInd w:val="0"/>
              <w:snapToGrid w:val="0"/>
              <w:jc w:val="left"/>
              <w:rPr>
                <w:rFonts w:ascii="仿宋" w:hAnsi="仿宋" w:eastAsia="仿宋" w:cs="仿宋"/>
                <w:sz w:val="28"/>
                <w:szCs w:val="28"/>
              </w:rPr>
            </w:pPr>
            <w:r>
              <w:rPr>
                <w:rFonts w:hint="eastAsia" w:ascii="仿宋" w:hAnsi="仿宋" w:eastAsia="仿宋" w:cs="仿宋"/>
                <w:sz w:val="28"/>
                <w:szCs w:val="28"/>
              </w:rPr>
              <w:t>B+:88</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C+:78</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D+:68</w:t>
            </w:r>
          </w:p>
        </w:tc>
        <w:tc>
          <w:tcPr>
            <w:tcW w:w="1337"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F+:55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A:95</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B:85</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C:75</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D:65</w:t>
            </w:r>
          </w:p>
        </w:tc>
        <w:tc>
          <w:tcPr>
            <w:tcW w:w="1337"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F</w:t>
            </w:r>
            <w:r>
              <w:rPr>
                <w:rFonts w:hint="eastAsia" w:ascii="仿宋" w:hAnsi="仿宋" w:eastAsia="仿宋" w:cs="仿宋"/>
                <w:sz w:val="28"/>
                <w:szCs w:val="28"/>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A-:90</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B-:80</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C-:70</w:t>
            </w:r>
          </w:p>
        </w:tc>
        <w:tc>
          <w:tcPr>
            <w:tcW w:w="1336" w:type="dxa"/>
          </w:tcPr>
          <w:p>
            <w:pPr>
              <w:widowControl/>
              <w:adjustRightInd w:val="0"/>
              <w:snapToGrid w:val="0"/>
              <w:jc w:val="left"/>
              <w:rPr>
                <w:rFonts w:ascii="仿宋" w:hAnsi="仿宋" w:eastAsia="仿宋" w:cs="仿宋"/>
                <w:sz w:val="28"/>
                <w:szCs w:val="28"/>
              </w:rPr>
            </w:pPr>
            <w:r>
              <w:rPr>
                <w:rFonts w:ascii="仿宋" w:hAnsi="仿宋" w:eastAsia="仿宋" w:cs="仿宋"/>
                <w:sz w:val="28"/>
                <w:szCs w:val="28"/>
              </w:rPr>
              <w:t>D-:60</w:t>
            </w:r>
          </w:p>
        </w:tc>
        <w:tc>
          <w:tcPr>
            <w:tcW w:w="1337" w:type="dxa"/>
          </w:tcPr>
          <w:p>
            <w:pPr>
              <w:widowControl/>
              <w:adjustRightInd w:val="0"/>
              <w:snapToGrid w:val="0"/>
              <w:jc w:val="left"/>
              <w:rPr>
                <w:rFonts w:ascii="仿宋" w:hAnsi="仿宋" w:eastAsia="仿宋" w:cs="仿宋"/>
                <w:sz w:val="28"/>
                <w:szCs w:val="28"/>
              </w:rPr>
            </w:pPr>
          </w:p>
        </w:tc>
      </w:tr>
    </w:tbl>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 3.</w:t>
      </w:r>
      <w:r>
        <w:rPr>
          <w:rFonts w:ascii="仿宋" w:hAnsi="仿宋" w:eastAsia="仿宋" w:cs="仿宋"/>
          <w:kern w:val="0"/>
          <w:sz w:val="32"/>
          <w:szCs w:val="32"/>
        </w:rPr>
        <w:t xml:space="preserve"> 若交流学习成绩记载方式为五级分制时，</w:t>
      </w:r>
      <w:r>
        <w:rPr>
          <w:rFonts w:hint="eastAsia" w:ascii="仿宋" w:hAnsi="仿宋" w:eastAsia="仿宋" w:cs="仿宋"/>
          <w:kern w:val="0"/>
          <w:sz w:val="32"/>
          <w:szCs w:val="32"/>
        </w:rPr>
        <w:t>可作如下转换</w:t>
      </w:r>
      <w:r>
        <w:rPr>
          <w:rFonts w:ascii="仿宋" w:hAnsi="仿宋" w:eastAsia="仿宋" w:cs="仿宋"/>
          <w:kern w:val="0"/>
          <w:sz w:val="32"/>
          <w:szCs w:val="32"/>
        </w:rPr>
        <w:t>：优秀：95，良好：85，中等：75，及格：65，不及格：55。若交流学习成绩记载方式为二级分制时，</w:t>
      </w:r>
      <w:r>
        <w:rPr>
          <w:rFonts w:hint="eastAsia" w:ascii="仿宋" w:hAnsi="仿宋" w:eastAsia="仿宋" w:cs="仿宋"/>
          <w:kern w:val="0"/>
          <w:sz w:val="32"/>
          <w:szCs w:val="32"/>
        </w:rPr>
        <w:t>可作如下转换：</w:t>
      </w:r>
      <w:r>
        <w:rPr>
          <w:rFonts w:ascii="仿宋" w:hAnsi="仿宋" w:eastAsia="仿宋" w:cs="仿宋"/>
          <w:kern w:val="0"/>
          <w:sz w:val="32"/>
          <w:szCs w:val="32"/>
        </w:rPr>
        <w:t>合格（P）：85，不合格（F）：55。</w:t>
      </w:r>
    </w:p>
    <w:p>
      <w:pPr>
        <w:widowControl/>
        <w:adjustRightInd w:val="0"/>
        <w:snapToGrid w:val="0"/>
        <w:spacing w:line="560" w:lineRule="exact"/>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4.若有其他计分形式,需提供外校成绩记载标准供我校参考,若不能提供时,合格及其以上成绩均以65分记。</w:t>
      </w:r>
    </w:p>
    <w:p>
      <w:pPr>
        <w:widowControl/>
        <w:adjustRightInd w:val="0"/>
        <w:snapToGrid w:val="0"/>
        <w:spacing w:line="560" w:lineRule="exact"/>
        <w:ind w:firstLine="643" w:firstLineChars="200"/>
        <w:jc w:val="left"/>
        <w:rPr>
          <w:rFonts w:ascii="仿宋" w:hAnsi="仿宋" w:eastAsia="仿宋" w:cs="仿宋"/>
          <w:b/>
          <w:kern w:val="0"/>
          <w:sz w:val="32"/>
          <w:szCs w:val="32"/>
        </w:rPr>
      </w:pPr>
    </w:p>
    <w:p>
      <w:pPr>
        <w:widowControl/>
        <w:adjustRightInd w:val="0"/>
        <w:snapToGrid w:val="0"/>
        <w:spacing w:line="560" w:lineRule="exact"/>
        <w:ind w:firstLine="643" w:firstLineChars="200"/>
        <w:jc w:val="center"/>
        <w:rPr>
          <w:rFonts w:ascii="仿宋" w:hAnsi="仿宋" w:eastAsia="仿宋" w:cs="仿宋"/>
          <w:b/>
          <w:kern w:val="0"/>
          <w:sz w:val="32"/>
          <w:szCs w:val="32"/>
        </w:rPr>
      </w:pPr>
      <w:r>
        <w:rPr>
          <w:rFonts w:hint="eastAsia" w:ascii="仿宋" w:hAnsi="仿宋" w:eastAsia="仿宋" w:cs="仿宋"/>
          <w:b/>
          <w:kern w:val="0"/>
          <w:sz w:val="32"/>
          <w:szCs w:val="32"/>
        </w:rPr>
        <w:t>第八章 附  则</w:t>
      </w:r>
    </w:p>
    <w:p>
      <w:pPr>
        <w:widowControl/>
        <w:adjustRightInd w:val="0"/>
        <w:snapToGrid w:val="0"/>
        <w:spacing w:beforeLines="50" w:afterLines="50"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 xml:space="preserve">第十八条 </w:t>
      </w:r>
      <w:r>
        <w:rPr>
          <w:rFonts w:hint="eastAsia" w:ascii="仿宋" w:hAnsi="仿宋" w:eastAsia="仿宋" w:cs="仿宋"/>
          <w:kern w:val="0"/>
          <w:sz w:val="32"/>
          <w:szCs w:val="32"/>
        </w:rPr>
        <w:t xml:space="preserve">本办法未包含的需要进行学分互认的情况，由学生提出申请，所在院、系给出学分互认方法建议，由教务处审议通过后予以认定。 </w:t>
      </w:r>
    </w:p>
    <w:p>
      <w:pPr>
        <w:widowControl/>
        <w:adjustRightInd w:val="0"/>
        <w:snapToGrid w:val="0"/>
        <w:spacing w:line="560" w:lineRule="exact"/>
        <w:ind w:firstLine="643" w:firstLineChars="200"/>
        <w:jc w:val="left"/>
        <w:rPr>
          <w:rFonts w:ascii="仿宋" w:hAnsi="仿宋" w:eastAsia="仿宋" w:cs="仿宋"/>
          <w:kern w:val="0"/>
          <w:sz w:val="32"/>
          <w:szCs w:val="32"/>
        </w:rPr>
      </w:pPr>
      <w:r>
        <w:rPr>
          <w:rFonts w:hint="eastAsia" w:ascii="仿宋" w:hAnsi="仿宋" w:eastAsia="仿宋" w:cs="仿宋"/>
          <w:b/>
          <w:kern w:val="0"/>
          <w:sz w:val="32"/>
          <w:szCs w:val="32"/>
        </w:rPr>
        <w:t xml:space="preserve">第十九条 </w:t>
      </w:r>
      <w:r>
        <w:rPr>
          <w:rFonts w:hint="eastAsia" w:ascii="仿宋" w:hAnsi="仿宋" w:eastAsia="仿宋" w:cs="仿宋"/>
          <w:kern w:val="0"/>
          <w:sz w:val="32"/>
          <w:szCs w:val="32"/>
        </w:rPr>
        <w:t>本办法从下发之日起施行，由教务处负责解释。</w:t>
      </w: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widowControl/>
        <w:adjustRightInd w:val="0"/>
        <w:snapToGrid w:val="0"/>
        <w:spacing w:line="560" w:lineRule="exact"/>
        <w:ind w:firstLine="640" w:firstLineChars="200"/>
        <w:jc w:val="left"/>
        <w:rPr>
          <w:rFonts w:ascii="仿宋" w:hAnsi="仿宋" w:eastAsia="仿宋" w:cs="仿宋"/>
          <w:kern w:val="0"/>
          <w:sz w:val="32"/>
          <w:szCs w:val="32"/>
        </w:rPr>
      </w:pPr>
    </w:p>
    <w:p>
      <w:pPr>
        <w:pStyle w:val="4"/>
        <w:widowControl/>
        <w:shd w:val="clear" w:color="auto" w:fill="FFFFFF"/>
        <w:spacing w:beforeAutospacing="0" w:afterAutospacing="0" w:line="420" w:lineRule="atLeast"/>
        <w:rPr>
          <w:rFonts w:ascii="黑体" w:hAnsi="黑体" w:eastAsia="黑体" w:cs="黑体"/>
          <w:sz w:val="28"/>
          <w:szCs w:val="28"/>
        </w:rPr>
      </w:pPr>
      <w:r>
        <w:rPr>
          <w:rFonts w:hint="eastAsia" w:ascii="仿宋" w:hAnsi="仿宋" w:eastAsia="仿宋" w:cs="仿宋"/>
          <w:sz w:val="30"/>
          <w:szCs w:val="30"/>
          <w:shd w:val="clear" w:color="auto" w:fill="FFFFFF"/>
        </w:rPr>
        <w:t xml:space="preserve">附件：         </w:t>
      </w:r>
      <w:r>
        <w:rPr>
          <w:rFonts w:hint="eastAsia" w:ascii="黑体" w:hAnsi="黑体" w:eastAsia="黑体" w:cs="黑体"/>
          <w:sz w:val="28"/>
          <w:szCs w:val="28"/>
        </w:rPr>
        <w:t>青海大学本科生课程学分认定申请表</w:t>
      </w:r>
    </w:p>
    <w:p>
      <w:pPr>
        <w:pStyle w:val="4"/>
        <w:widowControl/>
        <w:shd w:val="clear" w:color="auto" w:fill="FFFFFF"/>
        <w:spacing w:beforeAutospacing="0" w:afterAutospacing="0" w:line="420" w:lineRule="atLeast"/>
        <w:jc w:val="both"/>
        <w:rPr>
          <w:rFonts w:ascii="微软雅黑" w:hAnsi="微软雅黑" w:eastAsia="微软雅黑" w:cs="微软雅黑"/>
          <w:sz w:val="22"/>
        </w:rPr>
      </w:pPr>
      <w:r>
        <w:rPr>
          <w:rFonts w:hint="eastAsia" w:ascii="宋体" w:hAnsi="宋体" w:eastAsia="宋体" w:cs="宋体"/>
          <w:sz w:val="27"/>
          <w:szCs w:val="27"/>
          <w:shd w:val="clear" w:color="auto" w:fill="FFFFFF"/>
        </w:rPr>
        <w:t>填表日期：    年  月   日 </w:t>
      </w:r>
      <w:r>
        <w:rPr>
          <w:rFonts w:hint="eastAsia" w:ascii="微软雅黑" w:hAnsi="微软雅黑" w:eastAsia="微软雅黑" w:cs="微软雅黑"/>
          <w:sz w:val="22"/>
          <w:shd w:val="clear" w:color="auto" w:fill="FFFFFF"/>
        </w:rPr>
        <w:t> </w:t>
      </w:r>
    </w:p>
    <w:tbl>
      <w:tblPr>
        <w:tblStyle w:val="6"/>
        <w:tblW w:w="888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94"/>
        <w:gridCol w:w="945"/>
        <w:gridCol w:w="575"/>
        <w:gridCol w:w="575"/>
        <w:gridCol w:w="575"/>
        <w:gridCol w:w="530"/>
        <w:gridCol w:w="930"/>
        <w:gridCol w:w="115"/>
        <w:gridCol w:w="795"/>
        <w:gridCol w:w="560"/>
        <w:gridCol w:w="560"/>
        <w:gridCol w:w="560"/>
        <w:gridCol w:w="7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476" w:hRule="atLeast"/>
        </w:trPr>
        <w:tc>
          <w:tcPr>
            <w:tcW w:w="1394" w:type="dxa"/>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20" w:lineRule="exact"/>
              <w:jc w:val="center"/>
              <w:rPr>
                <w:rFonts w:ascii="宋体" w:hAnsi="宋体" w:eastAsia="宋体" w:cs="宋体"/>
                <w:color w:val="000000"/>
                <w:sz w:val="27"/>
                <w:szCs w:val="27"/>
              </w:rPr>
            </w:pPr>
            <w:r>
              <w:rPr>
                <w:rFonts w:hint="eastAsia" w:ascii="宋体" w:hAnsi="宋体" w:eastAsia="宋体" w:cs="宋体"/>
                <w:color w:val="000000"/>
                <w:sz w:val="27"/>
                <w:szCs w:val="27"/>
              </w:rPr>
              <w:t>姓名</w:t>
            </w:r>
          </w:p>
        </w:tc>
        <w:tc>
          <w:tcPr>
            <w:tcW w:w="3200" w:type="dxa"/>
            <w:gridSpan w:val="5"/>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微软雅黑" w:hAnsi="微软雅黑" w:eastAsia="微软雅黑" w:cs="微软雅黑"/>
                <w:color w:val="727272"/>
                <w:sz w:val="22"/>
              </w:rPr>
            </w:pPr>
          </w:p>
        </w:tc>
        <w:tc>
          <w:tcPr>
            <w:tcW w:w="93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20" w:lineRule="exact"/>
              <w:jc w:val="center"/>
            </w:pPr>
            <w:r>
              <w:rPr>
                <w:rFonts w:hint="eastAsia" w:ascii="宋体" w:hAnsi="宋体" w:eastAsia="宋体" w:cs="宋体"/>
                <w:color w:val="000000"/>
                <w:sz w:val="27"/>
                <w:szCs w:val="27"/>
              </w:rPr>
              <w:t>学号</w:t>
            </w:r>
          </w:p>
        </w:tc>
        <w:tc>
          <w:tcPr>
            <w:tcW w:w="3360" w:type="dxa"/>
            <w:gridSpan w:val="6"/>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微软雅黑" w:hAnsi="微软雅黑" w:eastAsia="微软雅黑" w:cs="微软雅黑"/>
                <w:color w:val="727272"/>
                <w:sz w:val="22"/>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444" w:hRule="atLeast"/>
        </w:trPr>
        <w:tc>
          <w:tcPr>
            <w:tcW w:w="1394" w:type="dxa"/>
            <w:tcBorders>
              <w:top w:val="single" w:color="000000" w:sz="6" w:space="0"/>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20" w:lineRule="exact"/>
              <w:jc w:val="center"/>
              <w:rPr>
                <w:rFonts w:ascii="宋体" w:hAnsi="宋体" w:eastAsia="宋体" w:cs="宋体"/>
                <w:color w:val="000000"/>
                <w:sz w:val="27"/>
                <w:szCs w:val="27"/>
              </w:rPr>
            </w:pPr>
            <w:r>
              <w:rPr>
                <w:rFonts w:hint="eastAsia" w:ascii="宋体" w:hAnsi="宋体" w:eastAsia="宋体" w:cs="宋体"/>
                <w:color w:val="000000"/>
                <w:sz w:val="27"/>
                <w:szCs w:val="27"/>
              </w:rPr>
              <w:t>所在院系</w:t>
            </w:r>
          </w:p>
        </w:tc>
        <w:tc>
          <w:tcPr>
            <w:tcW w:w="3200" w:type="dxa"/>
            <w:gridSpan w:val="5"/>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微软雅黑" w:hAnsi="微软雅黑" w:eastAsia="微软雅黑" w:cs="微软雅黑"/>
                <w:color w:val="727272"/>
                <w:sz w:val="22"/>
              </w:rPr>
            </w:pPr>
          </w:p>
        </w:tc>
        <w:tc>
          <w:tcPr>
            <w:tcW w:w="930" w:type="dxa"/>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320" w:lineRule="exact"/>
              <w:jc w:val="center"/>
              <w:rPr>
                <w:rFonts w:ascii="宋体" w:hAnsi="宋体" w:eastAsia="宋体" w:cs="宋体"/>
                <w:color w:val="727272"/>
                <w:sz w:val="27"/>
                <w:szCs w:val="27"/>
              </w:rPr>
            </w:pPr>
            <w:r>
              <w:rPr>
                <w:rFonts w:hint="eastAsia" w:ascii="宋体" w:hAnsi="宋体" w:eastAsia="宋体" w:cs="宋体"/>
                <w:color w:val="000000"/>
                <w:sz w:val="27"/>
                <w:szCs w:val="27"/>
              </w:rPr>
              <w:t>班级</w:t>
            </w:r>
          </w:p>
        </w:tc>
        <w:tc>
          <w:tcPr>
            <w:tcW w:w="3360" w:type="dxa"/>
            <w:gridSpan w:val="6"/>
            <w:tcBorders>
              <w:top w:val="single" w:color="000000" w:sz="6" w:space="0"/>
              <w:left w:val="nil"/>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微软雅黑" w:hAnsi="微软雅黑" w:eastAsia="微软雅黑" w:cs="微软雅黑"/>
                <w:color w:val="727272"/>
                <w:sz w:val="22"/>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8884" w:type="dxa"/>
            <w:gridSpan w:val="13"/>
            <w:tcBorders>
              <w:top w:val="nil"/>
              <w:left w:val="single" w:color="000000" w:sz="6" w:space="0"/>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微软雅黑" w:hAnsi="微软雅黑" w:eastAsia="微软雅黑" w:cs="微软雅黑"/>
                <w:color w:val="727272"/>
                <w:sz w:val="22"/>
              </w:rPr>
            </w:pPr>
            <w:r>
              <w:rPr>
                <w:rFonts w:hint="eastAsia" w:ascii="宋体" w:hAnsi="宋体" w:eastAsia="宋体" w:cs="宋体"/>
                <w:color w:val="000000"/>
                <w:kern w:val="0"/>
                <w:sz w:val="27"/>
                <w:szCs w:val="27"/>
              </w:rPr>
              <w:t>学分互认的类型：□1.学籍异动课程。   □ 2.国内交流学习学生课程。  □3.国（境）外学习学生课程。（在相应的□内划</w:t>
            </w:r>
            <w:r>
              <w:rPr>
                <w:rFonts w:ascii="宋体" w:hAnsi="宋体" w:eastAsia="宋体" w:cs="宋体"/>
                <w:color w:val="000000"/>
                <w:kern w:val="0"/>
                <w:sz w:val="27"/>
                <w:szCs w:val="27"/>
              </w:rPr>
              <w:t>√</w:t>
            </w:r>
            <w:r>
              <w:rPr>
                <w:rFonts w:hint="eastAsia" w:ascii="宋体" w:hAnsi="宋体" w:eastAsia="宋体" w:cs="宋体"/>
                <w:color w:val="000000"/>
                <w:kern w:val="0"/>
                <w:sz w:val="27"/>
                <w:szCs w:val="27"/>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2339" w:type="dxa"/>
            <w:gridSpan w:val="2"/>
            <w:tcBorders>
              <w:top w:val="nil"/>
              <w:left w:val="single" w:color="000000" w:sz="6"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转学（专业）前课程、外校课程名称</w:t>
            </w: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学时</w:t>
            </w: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学分</w:t>
            </w: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成绩</w:t>
            </w:r>
          </w:p>
        </w:tc>
        <w:tc>
          <w:tcPr>
            <w:tcW w:w="1575" w:type="dxa"/>
            <w:gridSpan w:val="3"/>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认定后</w:t>
            </w:r>
          </w:p>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课程名称</w:t>
            </w:r>
          </w:p>
        </w:tc>
        <w:tc>
          <w:tcPr>
            <w:tcW w:w="79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课程代码</w:t>
            </w: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学时</w:t>
            </w: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学分</w:t>
            </w: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成绩</w:t>
            </w:r>
          </w:p>
        </w:tc>
        <w:tc>
          <w:tcPr>
            <w:tcW w:w="770" w:type="dxa"/>
            <w:tcBorders>
              <w:top w:val="nil"/>
              <w:left w:val="single" w:color="auto" w:sz="4" w:space="0"/>
              <w:bottom w:val="single" w:color="000000" w:sz="6" w:space="0"/>
              <w:right w:val="single" w:color="000000" w:sz="6" w:space="0"/>
            </w:tcBorders>
            <w:shd w:val="clear" w:color="auto" w:fill="FFFFFF"/>
            <w:tcMar>
              <w:left w:w="105" w:type="dxa"/>
              <w:right w:w="105" w:type="dxa"/>
            </w:tcMar>
            <w:vAlign w:val="center"/>
          </w:tcPr>
          <w:p>
            <w:pPr>
              <w:spacing w:line="320" w:lineRule="exact"/>
              <w:jc w:val="center"/>
              <w:rPr>
                <w:rFonts w:ascii="宋体" w:hAnsi="宋体" w:eastAsia="宋体" w:cs="宋体"/>
                <w:color w:val="000000"/>
                <w:kern w:val="0"/>
                <w:sz w:val="27"/>
                <w:szCs w:val="27"/>
              </w:rPr>
            </w:pPr>
            <w:r>
              <w:rPr>
                <w:rFonts w:hint="eastAsia" w:ascii="宋体" w:hAnsi="宋体" w:eastAsia="宋体" w:cs="宋体"/>
                <w:color w:val="000000"/>
                <w:kern w:val="0"/>
                <w:sz w:val="27"/>
                <w:szCs w:val="27"/>
              </w:rPr>
              <w:t>课程类别</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2339" w:type="dxa"/>
            <w:gridSpan w:val="2"/>
            <w:tcBorders>
              <w:top w:val="nil"/>
              <w:left w:val="single" w:color="000000" w:sz="6"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1575" w:type="dxa"/>
            <w:gridSpan w:val="3"/>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9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70" w:type="dxa"/>
            <w:tcBorders>
              <w:top w:val="nil"/>
              <w:left w:val="single" w:color="auto" w:sz="4" w:space="0"/>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2339" w:type="dxa"/>
            <w:gridSpan w:val="2"/>
            <w:tcBorders>
              <w:top w:val="nil"/>
              <w:left w:val="single" w:color="000000" w:sz="6"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1575" w:type="dxa"/>
            <w:gridSpan w:val="3"/>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9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70" w:type="dxa"/>
            <w:tcBorders>
              <w:top w:val="nil"/>
              <w:left w:val="single" w:color="auto" w:sz="4" w:space="0"/>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2339" w:type="dxa"/>
            <w:gridSpan w:val="2"/>
            <w:tcBorders>
              <w:top w:val="nil"/>
              <w:left w:val="single" w:color="000000" w:sz="6"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1575" w:type="dxa"/>
            <w:gridSpan w:val="3"/>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9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70" w:type="dxa"/>
            <w:tcBorders>
              <w:top w:val="nil"/>
              <w:left w:val="single" w:color="auto" w:sz="4" w:space="0"/>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94" w:hRule="atLeast"/>
        </w:trPr>
        <w:tc>
          <w:tcPr>
            <w:tcW w:w="2339" w:type="dxa"/>
            <w:gridSpan w:val="2"/>
            <w:tcBorders>
              <w:top w:val="nil"/>
              <w:left w:val="single" w:color="000000" w:sz="6"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7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1575" w:type="dxa"/>
            <w:gridSpan w:val="3"/>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95"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560" w:type="dxa"/>
            <w:tcBorders>
              <w:top w:val="nil"/>
              <w:left w:val="single" w:color="auto" w:sz="4" w:space="0"/>
              <w:bottom w:val="single" w:color="000000" w:sz="6" w:space="0"/>
              <w:right w:val="single" w:color="auto" w:sz="4"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c>
          <w:tcPr>
            <w:tcW w:w="770" w:type="dxa"/>
            <w:tcBorders>
              <w:top w:val="nil"/>
              <w:left w:val="single" w:color="auto" w:sz="4" w:space="0"/>
              <w:bottom w:val="single" w:color="000000" w:sz="6" w:space="0"/>
              <w:right w:val="single" w:color="000000" w:sz="6" w:space="0"/>
            </w:tcBorders>
            <w:shd w:val="clear" w:color="auto" w:fill="FFFFFF"/>
            <w:tcMar>
              <w:left w:w="105" w:type="dxa"/>
              <w:right w:w="105" w:type="dxa"/>
            </w:tcMar>
            <w:vAlign w:val="center"/>
          </w:tcPr>
          <w:p>
            <w:pPr>
              <w:spacing w:line="320" w:lineRule="exact"/>
              <w:jc w:val="left"/>
              <w:rPr>
                <w:rFonts w:ascii="宋体" w:hAnsi="宋体" w:eastAsia="宋体" w:cs="宋体"/>
                <w:color w:val="000000"/>
                <w:kern w:val="0"/>
                <w:sz w:val="27"/>
                <w:szCs w:val="27"/>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563" w:hRule="atLeast"/>
        </w:trPr>
        <w:tc>
          <w:tcPr>
            <w:tcW w:w="2339" w:type="dxa"/>
            <w:gridSpan w:val="2"/>
            <w:tcBorders>
              <w:top w:val="nil"/>
              <w:left w:val="single" w:color="000000" w:sz="6" w:space="0"/>
              <w:bottom w:val="single" w:color="000000" w:sz="6" w:space="0"/>
              <w:right w:val="single" w:color="000000" w:sz="6" w:space="0"/>
            </w:tcBorders>
            <w:shd w:val="clear" w:color="auto" w:fill="FFFFFF"/>
            <w:tcMar>
              <w:left w:w="105" w:type="dxa"/>
              <w:right w:w="105" w:type="dxa"/>
            </w:tcMar>
          </w:tcPr>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学生所在</w:t>
            </w:r>
          </w:p>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院、系</w:t>
            </w:r>
          </w:p>
          <w:p>
            <w:pPr>
              <w:pStyle w:val="4"/>
              <w:widowControl/>
              <w:spacing w:beforeAutospacing="0" w:afterAutospacing="0" w:line="420" w:lineRule="exact"/>
              <w:jc w:val="center"/>
              <w:rPr>
                <w:color w:val="000000" w:themeColor="text1"/>
              </w:rPr>
            </w:pPr>
            <w:r>
              <w:rPr>
                <w:rFonts w:hint="eastAsia" w:ascii="宋体" w:hAnsi="宋体" w:eastAsia="宋体" w:cs="宋体"/>
                <w:color w:val="000000" w:themeColor="text1"/>
                <w:sz w:val="27"/>
                <w:szCs w:val="27"/>
              </w:rPr>
              <w:t>意  见</w:t>
            </w:r>
          </w:p>
        </w:tc>
        <w:tc>
          <w:tcPr>
            <w:tcW w:w="6545" w:type="dxa"/>
            <w:gridSpan w:val="11"/>
            <w:tcBorders>
              <w:top w:val="nil"/>
              <w:left w:val="nil"/>
              <w:bottom w:val="single" w:color="000000" w:sz="6" w:space="0"/>
              <w:right w:val="single" w:color="000000" w:sz="6" w:space="0"/>
            </w:tcBorders>
            <w:shd w:val="clear" w:color="auto" w:fill="FFFFFF"/>
            <w:tcMar>
              <w:left w:w="105" w:type="dxa"/>
              <w:right w:w="105" w:type="dxa"/>
            </w:tcMar>
            <w:vAlign w:val="bottom"/>
          </w:tcPr>
          <w:p>
            <w:pPr>
              <w:pStyle w:val="4"/>
              <w:widowControl/>
              <w:spacing w:beforeAutospacing="0" w:afterAutospacing="0" w:line="320" w:lineRule="exact"/>
              <w:jc w:val="center"/>
              <w:rPr>
                <w:color w:val="000000" w:themeColor="text1"/>
              </w:rPr>
            </w:pPr>
            <w:r>
              <w:rPr>
                <w:rFonts w:hint="eastAsia" w:ascii="宋体" w:hAnsi="宋体" w:eastAsia="宋体" w:cs="宋体"/>
                <w:color w:val="000000" w:themeColor="text1"/>
                <w:sz w:val="27"/>
                <w:szCs w:val="27"/>
              </w:rPr>
              <w:t>审核人：      负责人：   （公章）   年  月  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563" w:hRule="atLeast"/>
        </w:trPr>
        <w:tc>
          <w:tcPr>
            <w:tcW w:w="2339" w:type="dxa"/>
            <w:gridSpan w:val="2"/>
            <w:tcBorders>
              <w:top w:val="nil"/>
              <w:left w:val="single" w:color="000000" w:sz="6" w:space="0"/>
              <w:bottom w:val="single" w:color="auto" w:sz="4" w:space="0"/>
              <w:right w:val="single" w:color="000000" w:sz="6" w:space="0"/>
            </w:tcBorders>
            <w:shd w:val="clear" w:color="auto" w:fill="FFFFFF"/>
            <w:tcMar>
              <w:left w:w="105" w:type="dxa"/>
              <w:right w:w="105" w:type="dxa"/>
            </w:tcMar>
          </w:tcPr>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开设课程</w:t>
            </w:r>
          </w:p>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院、系</w:t>
            </w:r>
          </w:p>
          <w:p>
            <w:pPr>
              <w:pStyle w:val="4"/>
              <w:widowControl/>
              <w:spacing w:beforeAutospacing="0" w:afterAutospacing="0" w:line="420" w:lineRule="exact"/>
              <w:jc w:val="center"/>
              <w:rPr>
                <w:rFonts w:eastAsia="宋体"/>
                <w:color w:val="000000" w:themeColor="text1"/>
              </w:rPr>
            </w:pPr>
            <w:r>
              <w:rPr>
                <w:rFonts w:hint="eastAsia" w:ascii="宋体" w:hAnsi="宋体" w:eastAsia="宋体" w:cs="宋体"/>
                <w:color w:val="000000" w:themeColor="text1"/>
                <w:sz w:val="27"/>
                <w:szCs w:val="27"/>
              </w:rPr>
              <w:t>意  见</w:t>
            </w:r>
          </w:p>
        </w:tc>
        <w:tc>
          <w:tcPr>
            <w:tcW w:w="6545" w:type="dxa"/>
            <w:gridSpan w:val="11"/>
            <w:tcBorders>
              <w:top w:val="nil"/>
              <w:left w:val="nil"/>
              <w:bottom w:val="single" w:color="auto" w:sz="4" w:space="0"/>
              <w:right w:val="single" w:color="000000" w:sz="6" w:space="0"/>
            </w:tcBorders>
            <w:shd w:val="clear" w:color="auto" w:fill="FFFFFF"/>
            <w:tcMar>
              <w:left w:w="105" w:type="dxa"/>
              <w:right w:w="105" w:type="dxa"/>
            </w:tcMar>
          </w:tcPr>
          <w:p>
            <w:pPr>
              <w:pStyle w:val="4"/>
              <w:widowControl/>
              <w:spacing w:beforeAutospacing="0" w:afterAutospacing="0" w:line="420" w:lineRule="atLeast"/>
              <w:rPr>
                <w:color w:val="000000" w:themeColor="text1"/>
              </w:rPr>
            </w:pPr>
            <w:r>
              <w:rPr>
                <w:rFonts w:hint="eastAsia" w:ascii="宋体" w:hAnsi="宋体" w:eastAsia="宋体" w:cs="宋体"/>
                <w:color w:val="000000" w:themeColor="text1"/>
                <w:sz w:val="27"/>
                <w:szCs w:val="27"/>
              </w:rPr>
              <w:t>             </w:t>
            </w:r>
            <w:r>
              <w:rPr>
                <w:rFonts w:hint="eastAsia" w:ascii="微软雅黑" w:hAnsi="微软雅黑" w:eastAsia="微软雅黑" w:cs="微软雅黑"/>
                <w:color w:val="000000" w:themeColor="text1"/>
                <w:sz w:val="22"/>
              </w:rPr>
              <w:t> </w:t>
            </w:r>
          </w:p>
          <w:p>
            <w:pPr>
              <w:pStyle w:val="4"/>
              <w:widowControl/>
              <w:spacing w:beforeAutospacing="0" w:afterAutospacing="0" w:line="320" w:lineRule="exact"/>
              <w:ind w:firstLine="1350" w:firstLineChars="500"/>
              <w:jc w:val="both"/>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 xml:space="preserve">       </w:t>
            </w:r>
          </w:p>
          <w:p>
            <w:pPr>
              <w:pStyle w:val="4"/>
              <w:widowControl/>
              <w:spacing w:beforeAutospacing="0" w:afterAutospacing="0" w:line="320" w:lineRule="exact"/>
              <w:jc w:val="both"/>
              <w:rPr>
                <w:color w:val="000000" w:themeColor="text1"/>
              </w:rPr>
            </w:pPr>
            <w:r>
              <w:rPr>
                <w:rFonts w:hint="eastAsia" w:ascii="宋体" w:hAnsi="宋体" w:eastAsia="宋体" w:cs="宋体"/>
                <w:color w:val="000000" w:themeColor="text1"/>
                <w:sz w:val="27"/>
                <w:szCs w:val="27"/>
              </w:rPr>
              <w:t>审核人：      负责人：    （公章）   年   月  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1563" w:hRule="atLeast"/>
        </w:trPr>
        <w:tc>
          <w:tcPr>
            <w:tcW w:w="2339" w:type="dxa"/>
            <w:gridSpan w:val="2"/>
            <w:tcBorders>
              <w:top w:val="single" w:color="auto" w:sz="4" w:space="0"/>
              <w:left w:val="single" w:color="000000" w:sz="6" w:space="0"/>
              <w:bottom w:val="single" w:color="000000" w:sz="6" w:space="0"/>
              <w:right w:val="single" w:color="000000" w:sz="6" w:space="0"/>
            </w:tcBorders>
            <w:shd w:val="clear" w:color="auto" w:fill="FFFFFF"/>
            <w:tcMar>
              <w:left w:w="105" w:type="dxa"/>
              <w:right w:w="105" w:type="dxa"/>
            </w:tcMar>
            <w:vAlign w:val="center"/>
          </w:tcPr>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教务处</w:t>
            </w:r>
          </w:p>
          <w:p>
            <w:pPr>
              <w:pStyle w:val="4"/>
              <w:widowControl/>
              <w:spacing w:beforeAutospacing="0" w:afterAutospacing="0" w:line="420" w:lineRule="exact"/>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意  见</w:t>
            </w:r>
          </w:p>
        </w:tc>
        <w:tc>
          <w:tcPr>
            <w:tcW w:w="6545" w:type="dxa"/>
            <w:gridSpan w:val="11"/>
            <w:tcBorders>
              <w:top w:val="single" w:color="auto" w:sz="4" w:space="0"/>
              <w:left w:val="nil"/>
              <w:bottom w:val="single" w:color="000000" w:sz="6" w:space="0"/>
              <w:right w:val="single" w:color="000000" w:sz="6" w:space="0"/>
            </w:tcBorders>
            <w:shd w:val="clear" w:color="auto" w:fill="FFFFFF"/>
            <w:tcMar>
              <w:left w:w="105" w:type="dxa"/>
              <w:right w:w="105" w:type="dxa"/>
            </w:tcMar>
            <w:vAlign w:val="bottom"/>
          </w:tcPr>
          <w:p>
            <w:pPr>
              <w:pStyle w:val="4"/>
              <w:widowControl/>
              <w:spacing w:beforeAutospacing="0" w:afterAutospacing="0" w:line="320" w:lineRule="exact"/>
              <w:ind w:firstLine="1350" w:firstLineChars="500"/>
              <w:jc w:val="center"/>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 xml:space="preserve">       </w:t>
            </w:r>
          </w:p>
          <w:p>
            <w:pPr>
              <w:pStyle w:val="4"/>
              <w:widowControl/>
              <w:spacing w:beforeAutospacing="0" w:afterAutospacing="0" w:line="320" w:lineRule="exact"/>
              <w:ind w:firstLine="1890" w:firstLineChars="700"/>
              <w:rPr>
                <w:rFonts w:ascii="宋体" w:hAnsi="宋体" w:eastAsia="宋体" w:cs="宋体"/>
                <w:color w:val="000000" w:themeColor="text1"/>
                <w:sz w:val="27"/>
                <w:szCs w:val="27"/>
              </w:rPr>
            </w:pPr>
            <w:r>
              <w:rPr>
                <w:rFonts w:hint="eastAsia" w:ascii="宋体" w:hAnsi="宋体" w:eastAsia="宋体" w:cs="宋体"/>
                <w:color w:val="000000" w:themeColor="text1"/>
                <w:sz w:val="27"/>
                <w:szCs w:val="27"/>
              </w:rPr>
              <w:t>负责人：     （公章）   年   月  日</w:t>
            </w:r>
          </w:p>
        </w:tc>
      </w:tr>
    </w:tbl>
    <w:p>
      <w:pPr>
        <w:pStyle w:val="4"/>
        <w:widowControl/>
        <w:shd w:val="clear" w:color="auto" w:fill="FFFFFF"/>
        <w:spacing w:beforeAutospacing="0" w:afterAutospacing="0" w:line="320" w:lineRule="exact"/>
        <w:ind w:right="-374"/>
        <w:rPr>
          <w:rFonts w:ascii="微软雅黑" w:hAnsi="微软雅黑" w:eastAsia="微软雅黑" w:cs="微软雅黑"/>
          <w:color w:val="000000" w:themeColor="text1"/>
          <w:sz w:val="22"/>
        </w:rPr>
      </w:pPr>
      <w:r>
        <w:rPr>
          <w:rFonts w:hint="eastAsia" w:ascii="宋体" w:hAnsi="宋体" w:eastAsia="宋体" w:cs="宋体"/>
          <w:color w:val="000000" w:themeColor="text1"/>
          <w:sz w:val="27"/>
          <w:szCs w:val="27"/>
          <w:shd w:val="clear" w:color="auto" w:fill="FFFFFF"/>
        </w:rPr>
        <w:t>注：1、本表一式二份，分别交学生所在院、系和教务处留存。</w:t>
      </w:r>
    </w:p>
    <w:p>
      <w:pPr>
        <w:pStyle w:val="4"/>
        <w:widowControl/>
        <w:numPr>
          <w:ilvl w:val="0"/>
          <w:numId w:val="3"/>
        </w:numPr>
        <w:shd w:val="clear" w:color="auto" w:fill="FFFFFF"/>
        <w:spacing w:beforeAutospacing="0" w:afterAutospacing="0" w:line="320" w:lineRule="exact"/>
        <w:ind w:right="-374" w:firstLine="567"/>
        <w:rPr>
          <w:rFonts w:ascii="宋体" w:hAnsi="宋体" w:eastAsia="宋体" w:cs="宋体"/>
          <w:color w:val="000000" w:themeColor="text1"/>
          <w:sz w:val="27"/>
          <w:szCs w:val="27"/>
          <w:shd w:val="clear" w:color="auto" w:fill="FFFFFF"/>
        </w:rPr>
      </w:pPr>
      <w:r>
        <w:rPr>
          <w:rFonts w:hint="eastAsia" w:ascii="宋体" w:hAnsi="宋体" w:eastAsia="宋体" w:cs="宋体"/>
          <w:color w:val="000000" w:themeColor="text1"/>
          <w:sz w:val="27"/>
          <w:szCs w:val="27"/>
          <w:shd w:val="clear" w:color="auto" w:fill="FFFFFF"/>
        </w:rPr>
        <w:t>学生申请时需附相关成绩单、凭证等。</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5" o:spid="_x0000_s102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E310F"/>
    <w:multiLevelType w:val="singleLevel"/>
    <w:tmpl w:val="3B3E310F"/>
    <w:lvl w:ilvl="0" w:tentative="0">
      <w:start w:val="3"/>
      <w:numFmt w:val="chineseCounting"/>
      <w:suff w:val="space"/>
      <w:lvlText w:val="第%1章"/>
      <w:lvlJc w:val="left"/>
      <w:rPr>
        <w:rFonts w:hint="eastAsia"/>
      </w:rPr>
    </w:lvl>
  </w:abstractNum>
  <w:abstractNum w:abstractNumId="1">
    <w:nsid w:val="4743E01F"/>
    <w:multiLevelType w:val="singleLevel"/>
    <w:tmpl w:val="4743E01F"/>
    <w:lvl w:ilvl="0" w:tentative="0">
      <w:start w:val="2"/>
      <w:numFmt w:val="decimal"/>
      <w:suff w:val="nothing"/>
      <w:lvlText w:val="%1、"/>
      <w:lvlJc w:val="left"/>
    </w:lvl>
  </w:abstractNum>
  <w:abstractNum w:abstractNumId="2">
    <w:nsid w:val="5C0A5BE3"/>
    <w:multiLevelType w:val="singleLevel"/>
    <w:tmpl w:val="5C0A5BE3"/>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BE3058"/>
    <w:rsid w:val="00012A4D"/>
    <w:rsid w:val="0007673C"/>
    <w:rsid w:val="00081EF3"/>
    <w:rsid w:val="001C6D21"/>
    <w:rsid w:val="001D3920"/>
    <w:rsid w:val="00257CD6"/>
    <w:rsid w:val="002B7804"/>
    <w:rsid w:val="00331B41"/>
    <w:rsid w:val="0036671A"/>
    <w:rsid w:val="003938F9"/>
    <w:rsid w:val="003A4653"/>
    <w:rsid w:val="003D22D2"/>
    <w:rsid w:val="003F1FF9"/>
    <w:rsid w:val="00405E41"/>
    <w:rsid w:val="004311CF"/>
    <w:rsid w:val="00457CB1"/>
    <w:rsid w:val="004A34B1"/>
    <w:rsid w:val="004B4A47"/>
    <w:rsid w:val="005204CE"/>
    <w:rsid w:val="005734FF"/>
    <w:rsid w:val="0060164D"/>
    <w:rsid w:val="006200F8"/>
    <w:rsid w:val="00635FF2"/>
    <w:rsid w:val="0068299F"/>
    <w:rsid w:val="00755B0E"/>
    <w:rsid w:val="007B5DF6"/>
    <w:rsid w:val="00824EA9"/>
    <w:rsid w:val="00840AFC"/>
    <w:rsid w:val="008D6026"/>
    <w:rsid w:val="008F44E5"/>
    <w:rsid w:val="008F756A"/>
    <w:rsid w:val="008F76A4"/>
    <w:rsid w:val="00926837"/>
    <w:rsid w:val="009B282E"/>
    <w:rsid w:val="009E6DC5"/>
    <w:rsid w:val="00A6653F"/>
    <w:rsid w:val="00B04672"/>
    <w:rsid w:val="00B85B1E"/>
    <w:rsid w:val="00BB0AAF"/>
    <w:rsid w:val="00BE3058"/>
    <w:rsid w:val="00D94C67"/>
    <w:rsid w:val="00DC532C"/>
    <w:rsid w:val="00DC5CF2"/>
    <w:rsid w:val="00E04328"/>
    <w:rsid w:val="00E4513C"/>
    <w:rsid w:val="00EF17F6"/>
    <w:rsid w:val="00F17FC6"/>
    <w:rsid w:val="00F34FA8"/>
    <w:rsid w:val="00F76B62"/>
    <w:rsid w:val="00F825C3"/>
    <w:rsid w:val="00F831D3"/>
    <w:rsid w:val="00F91E7F"/>
    <w:rsid w:val="114C05C7"/>
    <w:rsid w:val="14D364FF"/>
    <w:rsid w:val="17A144C6"/>
    <w:rsid w:val="18851E25"/>
    <w:rsid w:val="1FCD3DD3"/>
    <w:rsid w:val="26AB3DAD"/>
    <w:rsid w:val="28277CDD"/>
    <w:rsid w:val="34EB15E0"/>
    <w:rsid w:val="3DA5339F"/>
    <w:rsid w:val="478B3AFB"/>
    <w:rsid w:val="50D82204"/>
    <w:rsid w:val="564257EA"/>
    <w:rsid w:val="5AD373AD"/>
    <w:rsid w:val="68510EDE"/>
    <w:rsid w:val="7AA67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Theme="minorEastAsia" w:cs="Arial"/>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jc w:val="left"/>
    </w:pPr>
    <w:rPr>
      <w:rFonts w:cs="Times New Roman"/>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脚 Char"/>
    <w:basedOn w:val="5"/>
    <w:link w:val="2"/>
    <w:semiHidden/>
    <w:qFormat/>
    <w:uiPriority w:val="99"/>
    <w:rPr>
      <w:sz w:val="18"/>
      <w:szCs w:val="18"/>
    </w:rPr>
  </w:style>
  <w:style w:type="character" w:customStyle="1" w:styleId="9">
    <w:name w:val="页眉 Char"/>
    <w:basedOn w:val="5"/>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8</Pages>
  <Words>543</Words>
  <Characters>3100</Characters>
  <Lines>25</Lines>
  <Paragraphs>7</Paragraphs>
  <TotalTime>241</TotalTime>
  <ScaleCrop>false</ScaleCrop>
  <LinksUpToDate>false</LinksUpToDate>
  <CharactersWithSpaces>3636</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2018-09-27T06:37:00Z</dcterms:created>
  <dc:creator>hp</dc:creator>
  <cp:lastModifiedBy>刘通</cp:lastModifiedBy>
  <cp:lastPrinted>2018-10-30T01:00:02Z</cp:lastPrinted>
  <dcterms:modified xsi:type="dcterms:W3CDTF">2018-10-30T01:16:11Z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