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宋体" w:cs="Times New Roman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附件</w:t>
      </w:r>
    </w:p>
    <w:p>
      <w:pPr>
        <w:widowControl/>
        <w:jc w:val="center"/>
        <w:rPr>
          <w:rFonts w:ascii="宋体" w:cs="Times New Roman"/>
          <w:b/>
          <w:bCs/>
          <w:sz w:val="28"/>
          <w:szCs w:val="28"/>
        </w:rPr>
      </w:pPr>
      <w:bookmarkStart w:id="0" w:name="_GoBack"/>
      <w:r>
        <w:rPr>
          <w:rFonts w:ascii="宋体" w:hAnsi="宋体" w:cs="宋体"/>
          <w:b/>
          <w:bCs/>
          <w:sz w:val="28"/>
          <w:szCs w:val="28"/>
        </w:rPr>
        <w:t>2018</w:t>
      </w:r>
      <w:r>
        <w:rPr>
          <w:rFonts w:hint="eastAsia" w:ascii="宋体" w:hAnsi="宋体" w:cs="宋体"/>
          <w:b/>
          <w:bCs/>
          <w:sz w:val="28"/>
          <w:szCs w:val="28"/>
        </w:rPr>
        <w:t>年下半年网络直播讲座安排表</w:t>
      </w:r>
    </w:p>
    <w:bookmarkEnd w:id="0"/>
    <w:p>
      <w:pPr>
        <w:widowControl/>
        <w:jc w:val="left"/>
        <w:rPr>
          <w:rFonts w:ascii="宋体" w:cs="Times New Roman"/>
          <w:b/>
          <w:bCs/>
        </w:rPr>
      </w:pPr>
    </w:p>
    <w:tbl>
      <w:tblPr>
        <w:tblStyle w:val="3"/>
        <w:tblW w:w="8897" w:type="dxa"/>
        <w:jc w:val="center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3279"/>
        <w:gridCol w:w="1320"/>
        <w:gridCol w:w="2931"/>
        <w:gridCol w:w="804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563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cs="Times New Roman"/>
                <w:b/>
                <w:bCs/>
                <w:color w:val="000000"/>
                <w:kern w:val="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</w:rPr>
              <w:t>序号</w:t>
            </w:r>
          </w:p>
        </w:tc>
        <w:tc>
          <w:tcPr>
            <w:tcW w:w="3279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cs="Times New Roman"/>
                <w:b/>
                <w:bCs/>
                <w:color w:val="000000"/>
                <w:kern w:val="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</w:rPr>
              <w:t>讲座名称</w:t>
            </w:r>
          </w:p>
        </w:tc>
        <w:tc>
          <w:tcPr>
            <w:tcW w:w="1320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cs="Times New Roman"/>
                <w:b/>
                <w:bCs/>
                <w:color w:val="000000"/>
                <w:kern w:val="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</w:rPr>
              <w:t>讲座</w:t>
            </w:r>
          </w:p>
          <w:p>
            <w:pPr>
              <w:widowControl/>
              <w:spacing w:line="400" w:lineRule="exact"/>
              <w:jc w:val="center"/>
              <w:rPr>
                <w:rFonts w:ascii="宋体" w:cs="Times New Roman"/>
                <w:b/>
                <w:bCs/>
                <w:color w:val="000000"/>
                <w:kern w:val="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</w:rPr>
              <w:t>时间</w:t>
            </w:r>
          </w:p>
        </w:tc>
        <w:tc>
          <w:tcPr>
            <w:tcW w:w="2931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cs="Times New Roman"/>
                <w:b/>
                <w:bCs/>
                <w:color w:val="000000"/>
                <w:kern w:val="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</w:rPr>
              <w:t>主讲教师</w:t>
            </w:r>
          </w:p>
        </w:tc>
        <w:tc>
          <w:tcPr>
            <w:tcW w:w="804" w:type="dxa"/>
          </w:tcPr>
          <w:p>
            <w:pPr>
              <w:widowControl/>
              <w:spacing w:line="400" w:lineRule="exact"/>
              <w:jc w:val="center"/>
              <w:rPr>
                <w:rFonts w:ascii="宋体" w:cs="Times New Roman"/>
                <w:b/>
                <w:bCs/>
                <w:color w:val="000000"/>
                <w:kern w:val="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</w:rPr>
              <w:t>培训</w:t>
            </w:r>
          </w:p>
          <w:p>
            <w:pPr>
              <w:widowControl/>
              <w:spacing w:line="400" w:lineRule="exact"/>
              <w:jc w:val="center"/>
              <w:rPr>
                <w:rFonts w:ascii="宋体" w:cs="Times New Roman"/>
                <w:b/>
                <w:bCs/>
                <w:color w:val="000000"/>
                <w:kern w:val="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</w:rPr>
              <w:t>地点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563" w:type="dxa"/>
            <w:tcBorders>
              <w:top w:val="single" w:color="auto" w:sz="4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3279" w:type="dxa"/>
            <w:tcBorders>
              <w:top w:val="single" w:color="auto" w:sz="4" w:space="0"/>
            </w:tcBorders>
            <w:vAlign w:val="center"/>
          </w:tcPr>
          <w:p>
            <w:pPr>
              <w:jc w:val="left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cs="Times New Roman"/>
                <w:color w:val="000000"/>
                <w:sz w:val="18"/>
                <w:szCs w:val="18"/>
              </w:rPr>
              <w:t>QCA（定性比较分析）</w:t>
            </w:r>
            <w:r>
              <w:rPr>
                <w:rFonts w:ascii="宋体" w:cs="Times New Roman"/>
                <w:color w:val="000000"/>
                <w:sz w:val="18"/>
                <w:szCs w:val="18"/>
              </w:rPr>
              <w:t>——</w:t>
            </w:r>
            <w:r>
              <w:rPr>
                <w:rFonts w:hint="eastAsia" w:ascii="宋体" w:cs="Times New Roman"/>
                <w:color w:val="000000"/>
                <w:sz w:val="18"/>
                <w:szCs w:val="18"/>
              </w:rPr>
              <w:t>超越定性与定量研究的新方法</w:t>
            </w:r>
          </w:p>
        </w:tc>
        <w:tc>
          <w:tcPr>
            <w:tcW w:w="1320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cs="Times New Roman"/>
                <w:color w:val="000000"/>
                <w:sz w:val="18"/>
                <w:szCs w:val="18"/>
              </w:rPr>
              <w:t>10月10日</w:t>
            </w:r>
          </w:p>
        </w:tc>
        <w:tc>
          <w:tcPr>
            <w:tcW w:w="2931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cs="Times New Roman"/>
                <w:color w:val="000000"/>
                <w:sz w:val="18"/>
                <w:szCs w:val="18"/>
              </w:rPr>
              <w:t>杜运周（东南大学）</w:t>
            </w:r>
          </w:p>
        </w:tc>
        <w:tc>
          <w:tcPr>
            <w:tcW w:w="804" w:type="dxa"/>
            <w:vMerge w:val="restart"/>
            <w:tcBorders>
              <w:top w:val="single" w:color="auto" w:sz="4" w:space="0"/>
            </w:tcBorders>
          </w:tcPr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教</w:t>
            </w: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师</w:t>
            </w: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任</w:t>
            </w: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选</w:t>
            </w: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地</w:t>
            </w: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点</w:t>
            </w: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通</w:t>
            </w: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过</w:t>
            </w: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网</w:t>
            </w: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络</w:t>
            </w: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</w:t>
            </w: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加</w:t>
            </w:r>
          </w:p>
          <w:p>
            <w:pPr>
              <w:rPr>
                <w:rFonts w:ascii="宋体" w:cs="Times New Roman"/>
                <w:color w:val="000000"/>
                <w:sz w:val="18"/>
                <w:szCs w:val="18"/>
              </w:rPr>
            </w:pPr>
          </w:p>
          <w:p>
            <w:pPr>
              <w:rPr>
                <w:rFonts w:ascii="宋体" w:cs="Times New Roman"/>
                <w:color w:val="000000"/>
                <w:sz w:val="18"/>
                <w:szCs w:val="18"/>
              </w:rPr>
            </w:pPr>
          </w:p>
          <w:p>
            <w:pPr>
              <w:rPr>
                <w:rFonts w:ascii="宋体" w:cs="Times New Roman"/>
                <w:color w:val="000000"/>
                <w:sz w:val="18"/>
                <w:szCs w:val="18"/>
              </w:rPr>
            </w:pPr>
          </w:p>
          <w:p>
            <w:pPr>
              <w:rPr>
                <w:rFonts w:ascii="宋体" w:cs="Times New Roman"/>
                <w:color w:val="000000"/>
                <w:sz w:val="18"/>
                <w:szCs w:val="18"/>
              </w:rPr>
            </w:pPr>
          </w:p>
          <w:p>
            <w:pPr>
              <w:rPr>
                <w:rFonts w:ascii="宋体" w:cs="Times New Roman"/>
                <w:color w:val="000000"/>
                <w:sz w:val="18"/>
                <w:szCs w:val="18"/>
              </w:rPr>
            </w:pPr>
          </w:p>
          <w:p>
            <w:pPr>
              <w:rPr>
                <w:rFonts w:ascii="宋体" w:cs="Times New Roman"/>
                <w:color w:val="000000"/>
                <w:sz w:val="18"/>
                <w:szCs w:val="18"/>
              </w:rPr>
            </w:pPr>
          </w:p>
          <w:p>
            <w:pPr>
              <w:rPr>
                <w:rFonts w:ascii="宋体" w:cs="Times New Roman"/>
                <w:color w:val="000000"/>
                <w:sz w:val="18"/>
                <w:szCs w:val="18"/>
              </w:rPr>
            </w:pPr>
          </w:p>
          <w:p>
            <w:pPr>
              <w:rPr>
                <w:rFonts w:ascii="宋体" w:cs="Times New Roman"/>
                <w:color w:val="000000"/>
                <w:sz w:val="18"/>
                <w:szCs w:val="18"/>
              </w:rPr>
            </w:pPr>
          </w:p>
          <w:p>
            <w:pPr>
              <w:rPr>
                <w:rFonts w:ascii="宋体" w:cs="Times New Roman"/>
                <w:color w:val="000000"/>
                <w:sz w:val="18"/>
                <w:szCs w:val="18"/>
              </w:rPr>
            </w:pPr>
          </w:p>
          <w:p>
            <w:pPr>
              <w:rPr>
                <w:rFonts w:ascii="宋体" w:cs="Times New Roman"/>
                <w:color w:val="000000"/>
                <w:sz w:val="18"/>
                <w:szCs w:val="18"/>
              </w:rPr>
            </w:pPr>
          </w:p>
          <w:p>
            <w:pPr>
              <w:rPr>
                <w:rFonts w:ascii="宋体" w:cs="Times New Roman"/>
                <w:color w:val="000000"/>
                <w:sz w:val="18"/>
                <w:szCs w:val="18"/>
              </w:rPr>
            </w:pPr>
          </w:p>
          <w:p>
            <w:pPr>
              <w:rPr>
                <w:rFonts w:ascii="宋体" w:cs="Times New Roman"/>
                <w:color w:val="000000"/>
                <w:sz w:val="18"/>
                <w:szCs w:val="18"/>
              </w:rPr>
            </w:pPr>
          </w:p>
          <w:p>
            <w:pPr>
              <w:rPr>
                <w:rFonts w:ascii="宋体" w:cs="Times New Roman"/>
                <w:color w:val="000000"/>
                <w:sz w:val="18"/>
                <w:szCs w:val="18"/>
              </w:rPr>
            </w:pPr>
          </w:p>
          <w:p>
            <w:pPr>
              <w:rPr>
                <w:rFonts w:ascii="宋体" w:cs="Times New Roman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教</w:t>
            </w: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师</w:t>
            </w: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任</w:t>
            </w: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选</w:t>
            </w: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地</w:t>
            </w: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点</w:t>
            </w: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通</w:t>
            </w: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过</w:t>
            </w: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网</w:t>
            </w: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络</w:t>
            </w: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</w:t>
            </w:r>
          </w:p>
          <w:p>
            <w:pPr>
              <w:ind w:firstLine="180" w:firstLineChars="100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563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279" w:type="dxa"/>
            <w:vAlign w:val="center"/>
          </w:tcPr>
          <w:p>
            <w:pPr>
              <w:jc w:val="left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cs="Times New Roman"/>
                <w:color w:val="000000"/>
                <w:sz w:val="18"/>
                <w:szCs w:val="18"/>
              </w:rPr>
              <w:t>农业现代化领军人才“五位一体”培养模式的研究与实践</w:t>
            </w:r>
          </w:p>
        </w:tc>
        <w:tc>
          <w:tcPr>
            <w:tcW w:w="1320" w:type="dxa"/>
            <w:vAlign w:val="center"/>
          </w:tcPr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cs="Times New Roman"/>
                <w:color w:val="000000"/>
                <w:sz w:val="18"/>
                <w:szCs w:val="18"/>
              </w:rPr>
              <w:t>10月11日</w:t>
            </w:r>
          </w:p>
        </w:tc>
        <w:tc>
          <w:tcPr>
            <w:tcW w:w="2931" w:type="dxa"/>
            <w:vAlign w:val="center"/>
          </w:tcPr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cs="Times New Roman"/>
                <w:color w:val="000000"/>
                <w:sz w:val="18"/>
                <w:szCs w:val="18"/>
              </w:rPr>
              <w:t>王涛（中国农业大学）</w:t>
            </w:r>
          </w:p>
        </w:tc>
        <w:tc>
          <w:tcPr>
            <w:tcW w:w="804" w:type="dxa"/>
            <w:vMerge w:val="continue"/>
          </w:tcPr>
          <w:p>
            <w:pPr>
              <w:ind w:firstLine="180" w:firstLineChars="100"/>
              <w:rPr>
                <w:rFonts w:ascii="宋体" w:cs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563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3279" w:type="dxa"/>
            <w:vAlign w:val="center"/>
          </w:tcPr>
          <w:p>
            <w:pPr>
              <w:jc w:val="left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cs="Times New Roman"/>
                <w:color w:val="000000"/>
                <w:sz w:val="18"/>
                <w:szCs w:val="18"/>
              </w:rPr>
              <w:t>教学名师谈教学：新时代背景下的课程教学</w:t>
            </w:r>
          </w:p>
        </w:tc>
        <w:tc>
          <w:tcPr>
            <w:tcW w:w="1320" w:type="dxa"/>
            <w:vAlign w:val="center"/>
          </w:tcPr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cs="Times New Roman"/>
                <w:color w:val="000000"/>
                <w:sz w:val="18"/>
                <w:szCs w:val="18"/>
              </w:rPr>
              <w:t>10月15日</w:t>
            </w:r>
          </w:p>
        </w:tc>
        <w:tc>
          <w:tcPr>
            <w:tcW w:w="2931" w:type="dxa"/>
            <w:vAlign w:val="center"/>
          </w:tcPr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cs="Times New Roman"/>
                <w:color w:val="000000"/>
                <w:sz w:val="18"/>
                <w:szCs w:val="18"/>
              </w:rPr>
              <w:t>陈后金（北京</w:t>
            </w:r>
            <w:r>
              <w:rPr>
                <w:rFonts w:ascii="宋体" w:cs="Times New Roman"/>
                <w:color w:val="000000"/>
                <w:sz w:val="18"/>
                <w:szCs w:val="18"/>
              </w:rPr>
              <w:t>交通大学</w:t>
            </w:r>
            <w:r>
              <w:rPr>
                <w:rFonts w:hint="eastAsia" w:ascii="宋体" w:cs="Times New Roman"/>
                <w:color w:val="000000"/>
                <w:sz w:val="18"/>
                <w:szCs w:val="18"/>
              </w:rPr>
              <w:t>）</w:t>
            </w:r>
          </w:p>
        </w:tc>
        <w:tc>
          <w:tcPr>
            <w:tcW w:w="804" w:type="dxa"/>
            <w:vMerge w:val="continue"/>
          </w:tcPr>
          <w:p>
            <w:pPr>
              <w:ind w:firstLine="180" w:firstLineChars="100"/>
              <w:rPr>
                <w:rFonts w:ascii="宋体" w:cs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563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3279" w:type="dxa"/>
            <w:vAlign w:val="center"/>
          </w:tcPr>
          <w:p>
            <w:pPr>
              <w:jc w:val="left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cs="Times New Roman"/>
                <w:color w:val="000000"/>
                <w:sz w:val="18"/>
                <w:szCs w:val="18"/>
              </w:rPr>
              <w:t>大学生数学思维的培养</w:t>
            </w:r>
            <w:r>
              <w:rPr>
                <w:rFonts w:ascii="宋体" w:cs="Times New Roman"/>
                <w:color w:val="000000"/>
                <w:sz w:val="18"/>
                <w:szCs w:val="18"/>
              </w:rPr>
              <w:t>——</w:t>
            </w:r>
            <w:r>
              <w:rPr>
                <w:rFonts w:hint="eastAsia" w:ascii="宋体" w:cs="Times New Roman"/>
                <w:color w:val="000000"/>
                <w:sz w:val="18"/>
                <w:szCs w:val="18"/>
              </w:rPr>
              <w:t>数学文化课案例剖析</w:t>
            </w:r>
            <w:r>
              <w:rPr>
                <w:rFonts w:ascii="宋体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320" w:type="dxa"/>
            <w:vAlign w:val="center"/>
          </w:tcPr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ascii="宋体" w:cs="Times New Roman"/>
                <w:color w:val="000000"/>
                <w:sz w:val="18"/>
                <w:szCs w:val="18"/>
              </w:rPr>
              <w:t>10月16日</w:t>
            </w:r>
          </w:p>
        </w:tc>
        <w:tc>
          <w:tcPr>
            <w:tcW w:w="2931" w:type="dxa"/>
            <w:vAlign w:val="center"/>
          </w:tcPr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cs="Times New Roman"/>
                <w:color w:val="000000"/>
                <w:sz w:val="18"/>
                <w:szCs w:val="18"/>
              </w:rPr>
              <w:t>顾沛（南开</w:t>
            </w:r>
            <w:r>
              <w:rPr>
                <w:rFonts w:ascii="宋体" w:cs="Times New Roman"/>
                <w:color w:val="000000"/>
                <w:sz w:val="18"/>
                <w:szCs w:val="18"/>
              </w:rPr>
              <w:t>大学</w:t>
            </w:r>
            <w:r>
              <w:rPr>
                <w:rFonts w:hint="eastAsia" w:ascii="宋体" w:cs="Times New Roman"/>
                <w:color w:val="000000"/>
                <w:sz w:val="18"/>
                <w:szCs w:val="18"/>
              </w:rPr>
              <w:t>）</w:t>
            </w:r>
          </w:p>
        </w:tc>
        <w:tc>
          <w:tcPr>
            <w:tcW w:w="804" w:type="dxa"/>
            <w:vMerge w:val="continue"/>
          </w:tcPr>
          <w:p>
            <w:pPr>
              <w:ind w:firstLine="180" w:firstLineChars="100"/>
              <w:rPr>
                <w:rFonts w:ascii="宋体" w:cs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563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3279" w:type="dxa"/>
            <w:vAlign w:val="center"/>
          </w:tcPr>
          <w:p>
            <w:pPr>
              <w:jc w:val="left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cs="Times New Roman"/>
                <w:color w:val="000000"/>
                <w:sz w:val="18"/>
                <w:szCs w:val="18"/>
              </w:rPr>
              <w:t>应用型院校人才培养“2+2”模式</w:t>
            </w:r>
          </w:p>
        </w:tc>
        <w:tc>
          <w:tcPr>
            <w:tcW w:w="1320" w:type="dxa"/>
            <w:vAlign w:val="center"/>
          </w:tcPr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cs="Times New Roman"/>
                <w:color w:val="000000"/>
                <w:sz w:val="18"/>
                <w:szCs w:val="18"/>
              </w:rPr>
              <w:t>10月17日</w:t>
            </w:r>
          </w:p>
        </w:tc>
        <w:tc>
          <w:tcPr>
            <w:tcW w:w="2931" w:type="dxa"/>
            <w:vAlign w:val="center"/>
          </w:tcPr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cs="Times New Roman"/>
                <w:color w:val="000000"/>
                <w:sz w:val="18"/>
                <w:szCs w:val="18"/>
              </w:rPr>
              <w:t>李丹青（中国计量学院）</w:t>
            </w:r>
          </w:p>
        </w:tc>
        <w:tc>
          <w:tcPr>
            <w:tcW w:w="804" w:type="dxa"/>
            <w:vMerge w:val="continue"/>
          </w:tcPr>
          <w:p>
            <w:pPr>
              <w:ind w:firstLine="180" w:firstLineChars="100"/>
              <w:rPr>
                <w:rFonts w:ascii="宋体" w:cs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563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3279" w:type="dxa"/>
            <w:vAlign w:val="center"/>
          </w:tcPr>
          <w:p>
            <w:pPr>
              <w:jc w:val="left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cs="Times New Roman"/>
                <w:color w:val="000000"/>
                <w:sz w:val="18"/>
                <w:szCs w:val="18"/>
              </w:rPr>
              <w:t>一流学科建设案例分析</w:t>
            </w:r>
          </w:p>
        </w:tc>
        <w:tc>
          <w:tcPr>
            <w:tcW w:w="1320" w:type="dxa"/>
            <w:vAlign w:val="center"/>
          </w:tcPr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cs="Times New Roman"/>
                <w:color w:val="000000"/>
                <w:sz w:val="18"/>
                <w:szCs w:val="18"/>
              </w:rPr>
              <w:t>10月18日</w:t>
            </w:r>
          </w:p>
        </w:tc>
        <w:tc>
          <w:tcPr>
            <w:tcW w:w="2931" w:type="dxa"/>
            <w:vAlign w:val="center"/>
          </w:tcPr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cs="Times New Roman"/>
                <w:color w:val="000000"/>
                <w:sz w:val="18"/>
                <w:szCs w:val="18"/>
              </w:rPr>
              <w:t>谷贤林（北京师范大学）</w:t>
            </w:r>
          </w:p>
        </w:tc>
        <w:tc>
          <w:tcPr>
            <w:tcW w:w="804" w:type="dxa"/>
            <w:vMerge w:val="continue"/>
          </w:tcPr>
          <w:p>
            <w:pPr>
              <w:ind w:firstLine="180" w:firstLineChars="100"/>
              <w:rPr>
                <w:rFonts w:ascii="宋体" w:cs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563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3279" w:type="dxa"/>
            <w:vAlign w:val="center"/>
          </w:tcPr>
          <w:p>
            <w:pPr>
              <w:jc w:val="left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cs="Times New Roman"/>
                <w:color w:val="000000"/>
                <w:sz w:val="18"/>
                <w:szCs w:val="18"/>
              </w:rPr>
              <w:t>高校青年教师教学能力的提升</w:t>
            </w:r>
          </w:p>
        </w:tc>
        <w:tc>
          <w:tcPr>
            <w:tcW w:w="1320" w:type="dxa"/>
            <w:vAlign w:val="center"/>
          </w:tcPr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cs="Times New Roman"/>
                <w:color w:val="000000"/>
                <w:sz w:val="18"/>
                <w:szCs w:val="18"/>
              </w:rPr>
              <w:t>10月22日</w:t>
            </w:r>
          </w:p>
        </w:tc>
        <w:tc>
          <w:tcPr>
            <w:tcW w:w="2931" w:type="dxa"/>
            <w:vAlign w:val="center"/>
          </w:tcPr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cs="Times New Roman"/>
                <w:color w:val="000000"/>
                <w:sz w:val="18"/>
                <w:szCs w:val="18"/>
              </w:rPr>
              <w:t>俎云霄（北京邮电大学）</w:t>
            </w:r>
          </w:p>
        </w:tc>
        <w:tc>
          <w:tcPr>
            <w:tcW w:w="804" w:type="dxa"/>
            <w:vMerge w:val="continue"/>
          </w:tcPr>
          <w:p>
            <w:pPr>
              <w:ind w:firstLine="180" w:firstLineChars="100"/>
              <w:rPr>
                <w:rFonts w:ascii="宋体" w:cs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563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3279" w:type="dxa"/>
            <w:vAlign w:val="center"/>
          </w:tcPr>
          <w:p>
            <w:pPr>
              <w:jc w:val="left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cs="Times New Roman"/>
                <w:color w:val="000000"/>
                <w:sz w:val="18"/>
                <w:szCs w:val="18"/>
              </w:rPr>
              <w:t>西周汉唐之盛与总结历史经验</w:t>
            </w:r>
          </w:p>
        </w:tc>
        <w:tc>
          <w:tcPr>
            <w:tcW w:w="1320" w:type="dxa"/>
            <w:vAlign w:val="center"/>
          </w:tcPr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ascii="宋体" w:cs="Times New Roman"/>
                <w:color w:val="000000"/>
                <w:sz w:val="18"/>
                <w:szCs w:val="18"/>
              </w:rPr>
              <w:t>10月23日</w:t>
            </w:r>
          </w:p>
        </w:tc>
        <w:tc>
          <w:tcPr>
            <w:tcW w:w="2931" w:type="dxa"/>
            <w:vAlign w:val="center"/>
          </w:tcPr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cs="Times New Roman"/>
                <w:color w:val="000000"/>
                <w:sz w:val="18"/>
                <w:szCs w:val="18"/>
              </w:rPr>
              <w:t>瞿林东（北京师范大学）</w:t>
            </w:r>
          </w:p>
        </w:tc>
        <w:tc>
          <w:tcPr>
            <w:tcW w:w="804" w:type="dxa"/>
            <w:vMerge w:val="continue"/>
          </w:tcPr>
          <w:p>
            <w:pPr>
              <w:ind w:firstLine="180" w:firstLineChars="100"/>
              <w:rPr>
                <w:rFonts w:ascii="宋体" w:cs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563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3279" w:type="dxa"/>
            <w:vAlign w:val="center"/>
          </w:tcPr>
          <w:p>
            <w:pPr>
              <w:jc w:val="left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cs="Times New Roman"/>
                <w:color w:val="000000"/>
                <w:sz w:val="18"/>
                <w:szCs w:val="18"/>
              </w:rPr>
              <w:t>教学名师谈教学——备课讲课方法谈</w:t>
            </w:r>
          </w:p>
        </w:tc>
        <w:tc>
          <w:tcPr>
            <w:tcW w:w="1320" w:type="dxa"/>
            <w:vAlign w:val="center"/>
          </w:tcPr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ascii="宋体" w:cs="Times New Roman"/>
                <w:color w:val="000000"/>
                <w:sz w:val="18"/>
                <w:szCs w:val="18"/>
              </w:rPr>
              <w:t>10月24日</w:t>
            </w:r>
          </w:p>
        </w:tc>
        <w:tc>
          <w:tcPr>
            <w:tcW w:w="2931" w:type="dxa"/>
            <w:vAlign w:val="center"/>
          </w:tcPr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cs="Times New Roman"/>
                <w:color w:val="000000"/>
                <w:sz w:val="18"/>
                <w:szCs w:val="18"/>
              </w:rPr>
              <w:t>熊庆旭（北京</w:t>
            </w:r>
            <w:r>
              <w:rPr>
                <w:rFonts w:ascii="宋体" w:cs="Times New Roman"/>
                <w:color w:val="000000"/>
                <w:sz w:val="18"/>
                <w:szCs w:val="18"/>
              </w:rPr>
              <w:t>航空航天大学</w:t>
            </w:r>
            <w:r>
              <w:rPr>
                <w:rFonts w:hint="eastAsia" w:ascii="宋体" w:cs="Times New Roman"/>
                <w:color w:val="000000"/>
                <w:sz w:val="18"/>
                <w:szCs w:val="18"/>
              </w:rPr>
              <w:t>）</w:t>
            </w:r>
          </w:p>
        </w:tc>
        <w:tc>
          <w:tcPr>
            <w:tcW w:w="804" w:type="dxa"/>
            <w:vMerge w:val="continue"/>
          </w:tcPr>
          <w:p>
            <w:pPr>
              <w:ind w:firstLine="180" w:firstLineChars="100"/>
              <w:rPr>
                <w:rFonts w:ascii="宋体" w:cs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563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3279" w:type="dxa"/>
            <w:vAlign w:val="center"/>
          </w:tcPr>
          <w:p>
            <w:pPr>
              <w:jc w:val="left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cs="Times New Roman"/>
                <w:color w:val="000000"/>
                <w:sz w:val="18"/>
                <w:szCs w:val="18"/>
              </w:rPr>
              <w:t>新时代</w:t>
            </w:r>
            <w:r>
              <w:rPr>
                <w:rFonts w:ascii="宋体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hint="eastAsia" w:ascii="宋体" w:cs="Times New Roman"/>
                <w:color w:val="000000"/>
                <w:sz w:val="18"/>
                <w:szCs w:val="18"/>
              </w:rPr>
              <w:t>新环境</w:t>
            </w:r>
            <w:r>
              <w:rPr>
                <w:rFonts w:ascii="宋体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hint="eastAsia" w:ascii="宋体" w:cs="Times New Roman"/>
                <w:color w:val="000000"/>
                <w:sz w:val="18"/>
                <w:szCs w:val="18"/>
              </w:rPr>
              <w:t>新教发</w:t>
            </w:r>
            <w:r>
              <w:rPr>
                <w:rFonts w:ascii="宋体" w:cs="Times New Roman"/>
                <w:color w:val="000000"/>
                <w:sz w:val="18"/>
                <w:szCs w:val="18"/>
              </w:rPr>
              <w:t>——</w:t>
            </w:r>
            <w:r>
              <w:rPr>
                <w:rFonts w:hint="eastAsia" w:ascii="宋体" w:cs="Times New Roman"/>
                <w:color w:val="000000"/>
                <w:sz w:val="18"/>
                <w:szCs w:val="18"/>
              </w:rPr>
              <w:t>智慧环境激发教师发展</w:t>
            </w:r>
          </w:p>
        </w:tc>
        <w:tc>
          <w:tcPr>
            <w:tcW w:w="1320" w:type="dxa"/>
            <w:vAlign w:val="center"/>
          </w:tcPr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ascii="宋体" w:cs="Times New Roman"/>
                <w:color w:val="000000"/>
                <w:sz w:val="18"/>
                <w:szCs w:val="18"/>
              </w:rPr>
              <w:t>10月25</w:t>
            </w:r>
            <w:r>
              <w:rPr>
                <w:rFonts w:hint="eastAsia" w:ascii="宋体" w:cs="Times New Roman"/>
                <w:color w:val="000000"/>
                <w:sz w:val="18"/>
                <w:szCs w:val="18"/>
              </w:rPr>
              <w:t>日</w:t>
            </w:r>
          </w:p>
        </w:tc>
        <w:tc>
          <w:tcPr>
            <w:tcW w:w="2931" w:type="dxa"/>
            <w:vAlign w:val="center"/>
          </w:tcPr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cs="Times New Roman"/>
                <w:color w:val="000000"/>
                <w:sz w:val="18"/>
                <w:szCs w:val="18"/>
              </w:rPr>
              <w:t>张胜全（武汉轻工大学）</w:t>
            </w:r>
          </w:p>
        </w:tc>
        <w:tc>
          <w:tcPr>
            <w:tcW w:w="804" w:type="dxa"/>
            <w:vMerge w:val="continue"/>
          </w:tcPr>
          <w:p>
            <w:pPr>
              <w:ind w:firstLine="180" w:firstLineChars="100"/>
              <w:rPr>
                <w:rFonts w:ascii="宋体" w:cs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563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3279" w:type="dxa"/>
            <w:vAlign w:val="center"/>
          </w:tcPr>
          <w:p>
            <w:pPr>
              <w:jc w:val="left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cs="Times New Roman"/>
                <w:color w:val="000000"/>
                <w:sz w:val="18"/>
                <w:szCs w:val="18"/>
              </w:rPr>
              <w:t>职业教育模式与人才培养</w:t>
            </w:r>
          </w:p>
        </w:tc>
        <w:tc>
          <w:tcPr>
            <w:tcW w:w="1320" w:type="dxa"/>
            <w:vAlign w:val="center"/>
          </w:tcPr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cs="Times New Roman"/>
                <w:color w:val="000000"/>
                <w:sz w:val="18"/>
                <w:szCs w:val="18"/>
              </w:rPr>
              <w:t>10月29日</w:t>
            </w:r>
          </w:p>
        </w:tc>
        <w:tc>
          <w:tcPr>
            <w:tcW w:w="2931" w:type="dxa"/>
            <w:vAlign w:val="center"/>
          </w:tcPr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cs="Times New Roman"/>
                <w:color w:val="000000"/>
                <w:sz w:val="18"/>
                <w:szCs w:val="18"/>
              </w:rPr>
              <w:t>赵开华（北京吉利学院）</w:t>
            </w:r>
          </w:p>
        </w:tc>
        <w:tc>
          <w:tcPr>
            <w:tcW w:w="804" w:type="dxa"/>
            <w:vMerge w:val="continue"/>
          </w:tcPr>
          <w:p>
            <w:pPr>
              <w:ind w:firstLine="180" w:firstLineChars="100"/>
              <w:rPr>
                <w:rFonts w:ascii="宋体" w:cs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563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12</w:t>
            </w:r>
          </w:p>
        </w:tc>
        <w:tc>
          <w:tcPr>
            <w:tcW w:w="3279" w:type="dxa"/>
            <w:vAlign w:val="center"/>
          </w:tcPr>
          <w:p>
            <w:pPr>
              <w:jc w:val="left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cs="Times New Roman"/>
                <w:color w:val="000000"/>
                <w:sz w:val="18"/>
                <w:szCs w:val="18"/>
              </w:rPr>
              <w:t>如何培养引领未来的人：本科教育改革的探索与实践</w:t>
            </w:r>
          </w:p>
        </w:tc>
        <w:tc>
          <w:tcPr>
            <w:tcW w:w="1320" w:type="dxa"/>
            <w:vAlign w:val="center"/>
          </w:tcPr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ascii="宋体" w:cs="Times New Roman"/>
                <w:color w:val="000000"/>
                <w:sz w:val="18"/>
                <w:szCs w:val="18"/>
              </w:rPr>
              <w:t>10月31日</w:t>
            </w:r>
          </w:p>
        </w:tc>
        <w:tc>
          <w:tcPr>
            <w:tcW w:w="2931" w:type="dxa"/>
            <w:vAlign w:val="center"/>
          </w:tcPr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cs="Times New Roman"/>
                <w:color w:val="000000"/>
                <w:sz w:val="18"/>
                <w:szCs w:val="18"/>
              </w:rPr>
              <w:t>孙华（北京大学）</w:t>
            </w:r>
          </w:p>
        </w:tc>
        <w:tc>
          <w:tcPr>
            <w:tcW w:w="804" w:type="dxa"/>
            <w:vMerge w:val="continue"/>
          </w:tcPr>
          <w:p>
            <w:pPr>
              <w:ind w:firstLine="180" w:firstLineChars="100"/>
              <w:rPr>
                <w:rFonts w:ascii="宋体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563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13</w:t>
            </w:r>
          </w:p>
        </w:tc>
        <w:tc>
          <w:tcPr>
            <w:tcW w:w="3279" w:type="dxa"/>
            <w:vAlign w:val="center"/>
          </w:tcPr>
          <w:p>
            <w:pPr>
              <w:jc w:val="left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cs="Times New Roman"/>
                <w:color w:val="000000"/>
                <w:sz w:val="18"/>
                <w:szCs w:val="18"/>
              </w:rPr>
              <w:t>基于移动信息化的翻转课堂教学实践</w:t>
            </w:r>
          </w:p>
        </w:tc>
        <w:tc>
          <w:tcPr>
            <w:tcW w:w="1320" w:type="dxa"/>
            <w:vAlign w:val="center"/>
          </w:tcPr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ascii="宋体" w:cs="Times New Roman"/>
                <w:color w:val="000000"/>
                <w:sz w:val="18"/>
                <w:szCs w:val="18"/>
              </w:rPr>
              <w:t>11月1日</w:t>
            </w:r>
          </w:p>
        </w:tc>
        <w:tc>
          <w:tcPr>
            <w:tcW w:w="2931" w:type="dxa"/>
            <w:vAlign w:val="center"/>
          </w:tcPr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cs="Times New Roman"/>
                <w:color w:val="000000"/>
                <w:sz w:val="18"/>
                <w:szCs w:val="18"/>
              </w:rPr>
              <w:t>贺利坚（烟台大学）</w:t>
            </w:r>
          </w:p>
        </w:tc>
        <w:tc>
          <w:tcPr>
            <w:tcW w:w="804" w:type="dxa"/>
            <w:vMerge w:val="continue"/>
          </w:tcPr>
          <w:p>
            <w:pPr>
              <w:ind w:firstLine="180" w:firstLineChars="100"/>
              <w:rPr>
                <w:rFonts w:ascii="宋体" w:cs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563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14</w:t>
            </w:r>
          </w:p>
        </w:tc>
        <w:tc>
          <w:tcPr>
            <w:tcW w:w="3279" w:type="dxa"/>
            <w:tcBorders>
              <w:bottom w:val="single" w:color="auto" w:sz="4" w:space="0"/>
            </w:tcBorders>
            <w:vAlign w:val="center"/>
          </w:tcPr>
          <w:p>
            <w:pPr>
              <w:jc w:val="left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cs="Times New Roman"/>
                <w:color w:val="000000"/>
                <w:sz w:val="18"/>
                <w:szCs w:val="18"/>
              </w:rPr>
              <w:t>新工科教学的翻转课堂设计与实践</w:t>
            </w:r>
          </w:p>
        </w:tc>
        <w:tc>
          <w:tcPr>
            <w:tcW w:w="1320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cs="Times New Roman"/>
                <w:color w:val="000000"/>
                <w:sz w:val="18"/>
                <w:szCs w:val="18"/>
              </w:rPr>
              <w:t>11月5日</w:t>
            </w:r>
          </w:p>
        </w:tc>
        <w:tc>
          <w:tcPr>
            <w:tcW w:w="2931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cs="Times New Roman"/>
                <w:color w:val="000000"/>
                <w:sz w:val="18"/>
                <w:szCs w:val="18"/>
              </w:rPr>
              <w:t>郭卫东（北京航空航天大学）</w:t>
            </w:r>
          </w:p>
        </w:tc>
        <w:tc>
          <w:tcPr>
            <w:tcW w:w="804" w:type="dxa"/>
            <w:vMerge w:val="continue"/>
          </w:tcPr>
          <w:p>
            <w:pPr>
              <w:ind w:firstLine="180" w:firstLineChars="100"/>
              <w:rPr>
                <w:rFonts w:ascii="宋体" w:cs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563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3279" w:type="dxa"/>
            <w:vAlign w:val="center"/>
          </w:tcPr>
          <w:p>
            <w:pPr>
              <w:jc w:val="left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cs="Times New Roman"/>
                <w:color w:val="000000"/>
                <w:sz w:val="18"/>
                <w:szCs w:val="18"/>
              </w:rPr>
              <w:t>我是怎样指导研究生完成学业的</w:t>
            </w:r>
          </w:p>
        </w:tc>
        <w:tc>
          <w:tcPr>
            <w:tcW w:w="1320" w:type="dxa"/>
            <w:vAlign w:val="center"/>
          </w:tcPr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ascii="宋体" w:cs="Times New Roman"/>
                <w:color w:val="000000"/>
                <w:sz w:val="18"/>
                <w:szCs w:val="18"/>
              </w:rPr>
              <w:t>11月6日</w:t>
            </w:r>
          </w:p>
        </w:tc>
        <w:tc>
          <w:tcPr>
            <w:tcW w:w="2931" w:type="dxa"/>
            <w:vAlign w:val="center"/>
          </w:tcPr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cs="Times New Roman"/>
                <w:color w:val="000000"/>
                <w:sz w:val="18"/>
                <w:szCs w:val="18"/>
              </w:rPr>
              <w:t>郭小凌（北京</w:t>
            </w:r>
            <w:r>
              <w:rPr>
                <w:rFonts w:ascii="宋体" w:cs="Times New Roman"/>
                <w:color w:val="000000"/>
                <w:sz w:val="18"/>
                <w:szCs w:val="18"/>
              </w:rPr>
              <w:t>师范大学</w:t>
            </w:r>
            <w:r>
              <w:rPr>
                <w:rFonts w:hint="eastAsia" w:ascii="宋体" w:cs="Times New Roman"/>
                <w:color w:val="000000"/>
                <w:sz w:val="18"/>
                <w:szCs w:val="18"/>
              </w:rPr>
              <w:t>）</w:t>
            </w:r>
          </w:p>
        </w:tc>
        <w:tc>
          <w:tcPr>
            <w:tcW w:w="804" w:type="dxa"/>
            <w:vMerge w:val="continue"/>
          </w:tcPr>
          <w:p>
            <w:pPr>
              <w:ind w:firstLine="180" w:firstLineChars="100"/>
              <w:rPr>
                <w:rFonts w:ascii="宋体" w:cs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563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16</w:t>
            </w:r>
          </w:p>
        </w:tc>
        <w:tc>
          <w:tcPr>
            <w:tcW w:w="3279" w:type="dxa"/>
            <w:vAlign w:val="center"/>
          </w:tcPr>
          <w:p>
            <w:pPr>
              <w:jc w:val="left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cs="Times New Roman"/>
                <w:color w:val="000000"/>
                <w:sz w:val="18"/>
                <w:szCs w:val="18"/>
              </w:rPr>
              <w:t>悖论之思：高质量科研从何而来</w:t>
            </w:r>
          </w:p>
        </w:tc>
        <w:tc>
          <w:tcPr>
            <w:tcW w:w="1320" w:type="dxa"/>
            <w:vAlign w:val="center"/>
          </w:tcPr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ascii="宋体" w:cs="Times New Roman"/>
                <w:color w:val="000000"/>
                <w:sz w:val="18"/>
                <w:szCs w:val="18"/>
              </w:rPr>
              <w:t>11月7日</w:t>
            </w:r>
          </w:p>
        </w:tc>
        <w:tc>
          <w:tcPr>
            <w:tcW w:w="2931" w:type="dxa"/>
            <w:vAlign w:val="center"/>
          </w:tcPr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cs="Times New Roman"/>
                <w:color w:val="000000"/>
                <w:sz w:val="18"/>
                <w:szCs w:val="18"/>
              </w:rPr>
              <w:t>甘德安（江汉</w:t>
            </w:r>
            <w:r>
              <w:rPr>
                <w:rFonts w:ascii="宋体" w:cs="Times New Roman"/>
                <w:color w:val="000000"/>
                <w:sz w:val="18"/>
                <w:szCs w:val="18"/>
              </w:rPr>
              <w:t>大学</w:t>
            </w:r>
            <w:r>
              <w:rPr>
                <w:rFonts w:hint="eastAsia" w:ascii="宋体" w:cs="Times New Roman"/>
                <w:color w:val="000000"/>
                <w:sz w:val="18"/>
                <w:szCs w:val="18"/>
              </w:rPr>
              <w:t>）</w:t>
            </w:r>
          </w:p>
        </w:tc>
        <w:tc>
          <w:tcPr>
            <w:tcW w:w="804" w:type="dxa"/>
            <w:vMerge w:val="continue"/>
          </w:tcPr>
          <w:p>
            <w:pPr>
              <w:ind w:firstLine="180" w:firstLineChars="100"/>
              <w:rPr>
                <w:rFonts w:ascii="宋体" w:cs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563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17</w:t>
            </w:r>
          </w:p>
        </w:tc>
        <w:tc>
          <w:tcPr>
            <w:tcW w:w="3279" w:type="dxa"/>
            <w:vAlign w:val="center"/>
          </w:tcPr>
          <w:p>
            <w:pPr>
              <w:jc w:val="left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cs="Times New Roman"/>
                <w:color w:val="000000"/>
                <w:sz w:val="18"/>
                <w:szCs w:val="18"/>
              </w:rPr>
              <w:t>大学教育中的差异化教学策略刍议</w:t>
            </w:r>
          </w:p>
        </w:tc>
        <w:tc>
          <w:tcPr>
            <w:tcW w:w="1320" w:type="dxa"/>
            <w:vAlign w:val="center"/>
          </w:tcPr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ascii="宋体" w:cs="Times New Roman"/>
                <w:color w:val="000000"/>
                <w:sz w:val="18"/>
                <w:szCs w:val="18"/>
              </w:rPr>
              <w:t>11月8日</w:t>
            </w:r>
          </w:p>
        </w:tc>
        <w:tc>
          <w:tcPr>
            <w:tcW w:w="2931" w:type="dxa"/>
            <w:vAlign w:val="center"/>
          </w:tcPr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cs="Times New Roman"/>
                <w:color w:val="000000"/>
                <w:sz w:val="18"/>
                <w:szCs w:val="18"/>
              </w:rPr>
              <w:t>赵丽琴（北京工业大学）</w:t>
            </w:r>
          </w:p>
        </w:tc>
        <w:tc>
          <w:tcPr>
            <w:tcW w:w="804" w:type="dxa"/>
            <w:vMerge w:val="continue"/>
          </w:tcPr>
          <w:p>
            <w:pPr>
              <w:ind w:firstLine="180" w:firstLineChars="100"/>
              <w:rPr>
                <w:rFonts w:ascii="宋体" w:cs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563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18</w:t>
            </w:r>
          </w:p>
        </w:tc>
        <w:tc>
          <w:tcPr>
            <w:tcW w:w="3279" w:type="dxa"/>
            <w:vAlign w:val="center"/>
          </w:tcPr>
          <w:p>
            <w:pPr>
              <w:jc w:val="left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cs="Times New Roman"/>
                <w:color w:val="000000"/>
                <w:sz w:val="18"/>
                <w:szCs w:val="18"/>
              </w:rPr>
              <w:t>系统哲学的新发现（上）</w:t>
            </w:r>
          </w:p>
        </w:tc>
        <w:tc>
          <w:tcPr>
            <w:tcW w:w="1320" w:type="dxa"/>
            <w:vAlign w:val="center"/>
          </w:tcPr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cs="Times New Roman"/>
                <w:color w:val="000000"/>
                <w:sz w:val="18"/>
                <w:szCs w:val="18"/>
              </w:rPr>
              <w:t>11月12日</w:t>
            </w:r>
          </w:p>
        </w:tc>
        <w:tc>
          <w:tcPr>
            <w:tcW w:w="2931" w:type="dxa"/>
            <w:vAlign w:val="center"/>
          </w:tcPr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cs="Times New Roman"/>
                <w:color w:val="000000"/>
                <w:sz w:val="18"/>
                <w:szCs w:val="18"/>
              </w:rPr>
              <w:t>闵家胤（中国社会科学院）</w:t>
            </w:r>
          </w:p>
        </w:tc>
        <w:tc>
          <w:tcPr>
            <w:tcW w:w="804" w:type="dxa"/>
            <w:vMerge w:val="continue"/>
          </w:tcPr>
          <w:p>
            <w:pPr>
              <w:ind w:firstLine="180" w:firstLineChars="100"/>
              <w:rPr>
                <w:rFonts w:ascii="宋体" w:cs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563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19</w:t>
            </w:r>
          </w:p>
        </w:tc>
        <w:tc>
          <w:tcPr>
            <w:tcW w:w="3279" w:type="dxa"/>
            <w:vAlign w:val="center"/>
          </w:tcPr>
          <w:p>
            <w:pPr>
              <w:jc w:val="left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cs="Times New Roman"/>
                <w:color w:val="000000"/>
                <w:sz w:val="18"/>
                <w:szCs w:val="18"/>
              </w:rPr>
              <w:t>智慧城市规划与建设</w:t>
            </w:r>
          </w:p>
        </w:tc>
        <w:tc>
          <w:tcPr>
            <w:tcW w:w="1320" w:type="dxa"/>
            <w:vAlign w:val="center"/>
          </w:tcPr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ascii="宋体" w:cs="Times New Roman"/>
                <w:color w:val="000000"/>
                <w:sz w:val="18"/>
                <w:szCs w:val="18"/>
              </w:rPr>
              <w:t>11月13日</w:t>
            </w:r>
          </w:p>
        </w:tc>
        <w:tc>
          <w:tcPr>
            <w:tcW w:w="2931" w:type="dxa"/>
            <w:vAlign w:val="center"/>
          </w:tcPr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cs="Times New Roman"/>
                <w:color w:val="000000"/>
                <w:sz w:val="18"/>
                <w:szCs w:val="18"/>
              </w:rPr>
              <w:t>党安荣（清华</w:t>
            </w:r>
            <w:r>
              <w:rPr>
                <w:rFonts w:ascii="宋体" w:cs="Times New Roman"/>
                <w:color w:val="000000"/>
                <w:sz w:val="18"/>
                <w:szCs w:val="18"/>
              </w:rPr>
              <w:t>大学</w:t>
            </w:r>
            <w:r>
              <w:rPr>
                <w:rFonts w:hint="eastAsia" w:ascii="宋体" w:cs="Times New Roman"/>
                <w:color w:val="000000"/>
                <w:sz w:val="18"/>
                <w:szCs w:val="18"/>
              </w:rPr>
              <w:t>）</w:t>
            </w:r>
          </w:p>
        </w:tc>
        <w:tc>
          <w:tcPr>
            <w:tcW w:w="804" w:type="dxa"/>
            <w:vMerge w:val="continue"/>
          </w:tcPr>
          <w:p>
            <w:pPr>
              <w:rPr>
                <w:rFonts w:ascii="宋体" w:cs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563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3279" w:type="dxa"/>
            <w:vAlign w:val="center"/>
          </w:tcPr>
          <w:p>
            <w:pPr>
              <w:jc w:val="left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cs="Times New Roman"/>
                <w:color w:val="000000"/>
                <w:sz w:val="18"/>
                <w:szCs w:val="18"/>
              </w:rPr>
              <w:t>系统哲学的新发现（下）</w:t>
            </w:r>
          </w:p>
        </w:tc>
        <w:tc>
          <w:tcPr>
            <w:tcW w:w="1320" w:type="dxa"/>
            <w:vAlign w:val="center"/>
          </w:tcPr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ascii="宋体" w:cs="Times New Roman"/>
                <w:color w:val="000000"/>
                <w:sz w:val="18"/>
                <w:szCs w:val="18"/>
              </w:rPr>
              <w:t>11月14日</w:t>
            </w:r>
          </w:p>
        </w:tc>
        <w:tc>
          <w:tcPr>
            <w:tcW w:w="2931" w:type="dxa"/>
            <w:vAlign w:val="center"/>
          </w:tcPr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cs="Times New Roman"/>
                <w:color w:val="000000"/>
                <w:sz w:val="18"/>
                <w:szCs w:val="18"/>
              </w:rPr>
              <w:t>闵家胤（中国社会科学院）</w:t>
            </w:r>
          </w:p>
        </w:tc>
        <w:tc>
          <w:tcPr>
            <w:tcW w:w="804" w:type="dxa"/>
            <w:vMerge w:val="continue"/>
          </w:tcPr>
          <w:p>
            <w:pPr>
              <w:rPr>
                <w:rFonts w:ascii="宋体" w:cs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563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21</w:t>
            </w:r>
          </w:p>
        </w:tc>
        <w:tc>
          <w:tcPr>
            <w:tcW w:w="3279" w:type="dxa"/>
            <w:vAlign w:val="center"/>
          </w:tcPr>
          <w:p>
            <w:pPr>
              <w:jc w:val="left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cs="Times New Roman"/>
                <w:color w:val="000000"/>
                <w:sz w:val="18"/>
                <w:szCs w:val="18"/>
              </w:rPr>
              <w:t>危机管理与风险分析</w:t>
            </w:r>
          </w:p>
        </w:tc>
        <w:tc>
          <w:tcPr>
            <w:tcW w:w="1320" w:type="dxa"/>
            <w:vAlign w:val="center"/>
          </w:tcPr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ascii="宋体" w:cs="Times New Roman"/>
                <w:color w:val="000000"/>
                <w:sz w:val="18"/>
                <w:szCs w:val="18"/>
              </w:rPr>
              <w:t>11月15日</w:t>
            </w:r>
          </w:p>
        </w:tc>
        <w:tc>
          <w:tcPr>
            <w:tcW w:w="2931" w:type="dxa"/>
            <w:vAlign w:val="center"/>
          </w:tcPr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cs="Times New Roman"/>
                <w:color w:val="000000"/>
                <w:sz w:val="18"/>
                <w:szCs w:val="18"/>
              </w:rPr>
              <w:t>刘铁忠（北京理工大学）</w:t>
            </w:r>
          </w:p>
        </w:tc>
        <w:tc>
          <w:tcPr>
            <w:tcW w:w="804" w:type="dxa"/>
            <w:vMerge w:val="continue"/>
          </w:tcPr>
          <w:p>
            <w:pPr>
              <w:rPr>
                <w:rFonts w:ascii="宋体" w:cs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563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22</w:t>
            </w:r>
          </w:p>
        </w:tc>
        <w:tc>
          <w:tcPr>
            <w:tcW w:w="3279" w:type="dxa"/>
            <w:vAlign w:val="center"/>
          </w:tcPr>
          <w:p>
            <w:pPr>
              <w:jc w:val="left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cs="Times New Roman"/>
                <w:color w:val="000000"/>
                <w:sz w:val="18"/>
                <w:szCs w:val="18"/>
              </w:rPr>
              <w:t>高校青年教师科研能力提升</w:t>
            </w:r>
          </w:p>
        </w:tc>
        <w:tc>
          <w:tcPr>
            <w:tcW w:w="1320" w:type="dxa"/>
            <w:vAlign w:val="center"/>
          </w:tcPr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ascii="宋体" w:cs="Times New Roman"/>
                <w:color w:val="000000"/>
                <w:sz w:val="18"/>
                <w:szCs w:val="18"/>
              </w:rPr>
              <w:t>11月20日</w:t>
            </w:r>
          </w:p>
        </w:tc>
        <w:tc>
          <w:tcPr>
            <w:tcW w:w="2931" w:type="dxa"/>
            <w:vAlign w:val="center"/>
          </w:tcPr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cs="Times New Roman"/>
                <w:color w:val="000000"/>
                <w:sz w:val="18"/>
                <w:szCs w:val="18"/>
              </w:rPr>
              <w:t>杨鲁新（北京外国语大学）</w:t>
            </w:r>
          </w:p>
        </w:tc>
        <w:tc>
          <w:tcPr>
            <w:tcW w:w="804" w:type="dxa"/>
            <w:vMerge w:val="continue"/>
          </w:tcPr>
          <w:p>
            <w:pPr>
              <w:rPr>
                <w:rFonts w:ascii="宋体" w:cs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563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23</w:t>
            </w:r>
          </w:p>
        </w:tc>
        <w:tc>
          <w:tcPr>
            <w:tcW w:w="3279" w:type="dxa"/>
            <w:vAlign w:val="center"/>
          </w:tcPr>
          <w:p>
            <w:pPr>
              <w:jc w:val="left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cs="Times New Roman"/>
                <w:color w:val="000000"/>
                <w:sz w:val="18"/>
                <w:szCs w:val="18"/>
              </w:rPr>
              <w:t>移动互联网时代的零存整取式学习</w:t>
            </w:r>
          </w:p>
        </w:tc>
        <w:tc>
          <w:tcPr>
            <w:tcW w:w="1320" w:type="dxa"/>
            <w:vAlign w:val="center"/>
          </w:tcPr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ascii="宋体" w:cs="Times New Roman"/>
                <w:color w:val="000000"/>
                <w:sz w:val="18"/>
                <w:szCs w:val="18"/>
              </w:rPr>
              <w:t>11月21日</w:t>
            </w:r>
          </w:p>
        </w:tc>
        <w:tc>
          <w:tcPr>
            <w:tcW w:w="2931" w:type="dxa"/>
            <w:vAlign w:val="center"/>
          </w:tcPr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cs="Times New Roman"/>
                <w:color w:val="000000"/>
                <w:sz w:val="18"/>
                <w:szCs w:val="18"/>
              </w:rPr>
              <w:t>王竹立（中山</w:t>
            </w:r>
            <w:r>
              <w:rPr>
                <w:rFonts w:ascii="宋体" w:cs="Times New Roman"/>
                <w:color w:val="000000"/>
                <w:sz w:val="18"/>
                <w:szCs w:val="18"/>
              </w:rPr>
              <w:t>大学</w:t>
            </w:r>
            <w:r>
              <w:rPr>
                <w:rFonts w:hint="eastAsia" w:ascii="宋体" w:cs="Times New Roman"/>
                <w:color w:val="000000"/>
                <w:sz w:val="18"/>
                <w:szCs w:val="18"/>
              </w:rPr>
              <w:t>）</w:t>
            </w:r>
          </w:p>
        </w:tc>
        <w:tc>
          <w:tcPr>
            <w:tcW w:w="804" w:type="dxa"/>
            <w:vMerge w:val="continue"/>
          </w:tcPr>
          <w:p>
            <w:pPr>
              <w:rPr>
                <w:rFonts w:ascii="宋体" w:cs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563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24</w:t>
            </w:r>
          </w:p>
        </w:tc>
        <w:tc>
          <w:tcPr>
            <w:tcW w:w="3279" w:type="dxa"/>
            <w:vAlign w:val="center"/>
          </w:tcPr>
          <w:p>
            <w:pPr>
              <w:jc w:val="left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青年教师如何提升自身的教学能力</w:t>
            </w:r>
          </w:p>
        </w:tc>
        <w:tc>
          <w:tcPr>
            <w:tcW w:w="1320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sz w:val="18"/>
                <w:szCs w:val="18"/>
              </w:rPr>
              <w:t>11月27日</w:t>
            </w:r>
          </w:p>
        </w:tc>
        <w:tc>
          <w:tcPr>
            <w:tcW w:w="2931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康峰（北京林业大学）</w:t>
            </w:r>
          </w:p>
        </w:tc>
        <w:tc>
          <w:tcPr>
            <w:tcW w:w="804" w:type="dxa"/>
            <w:vMerge w:val="continue"/>
          </w:tcPr>
          <w:p>
            <w:pPr>
              <w:rPr>
                <w:rFonts w:ascii="宋体" w:cs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563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25</w:t>
            </w:r>
          </w:p>
        </w:tc>
        <w:tc>
          <w:tcPr>
            <w:tcW w:w="3279" w:type="dxa"/>
            <w:vAlign w:val="center"/>
          </w:tcPr>
          <w:p>
            <w:pPr>
              <w:jc w:val="left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落实新时代全国高等学校本科教育工作会议精神，培养通专平衡的本科拔尖创新人才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20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11月29日</w:t>
            </w:r>
          </w:p>
        </w:tc>
        <w:tc>
          <w:tcPr>
            <w:tcW w:w="2931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林万龙（中国农业大学）</w:t>
            </w:r>
          </w:p>
        </w:tc>
        <w:tc>
          <w:tcPr>
            <w:tcW w:w="804" w:type="dxa"/>
            <w:vMerge w:val="continue"/>
          </w:tcPr>
          <w:p>
            <w:pPr>
              <w:rPr>
                <w:rFonts w:ascii="宋体" w:cs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563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26</w:t>
            </w:r>
          </w:p>
        </w:tc>
        <w:tc>
          <w:tcPr>
            <w:tcW w:w="3279" w:type="dxa"/>
            <w:vAlign w:val="center"/>
          </w:tcPr>
          <w:p>
            <w:pPr>
              <w:jc w:val="left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 xml:space="preserve">用信息化教学破解大班课教学痛点 </w:t>
            </w:r>
          </w:p>
        </w:tc>
        <w:tc>
          <w:tcPr>
            <w:tcW w:w="1320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12月3日</w:t>
            </w:r>
          </w:p>
        </w:tc>
        <w:tc>
          <w:tcPr>
            <w:tcW w:w="2931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段凌燕（陕西交通职业技术学院）</w:t>
            </w:r>
          </w:p>
        </w:tc>
        <w:tc>
          <w:tcPr>
            <w:tcW w:w="804" w:type="dxa"/>
            <w:vMerge w:val="continue"/>
          </w:tcPr>
          <w:p>
            <w:pPr>
              <w:rPr>
                <w:rFonts w:ascii="宋体" w:cs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563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27</w:t>
            </w:r>
          </w:p>
        </w:tc>
        <w:tc>
          <w:tcPr>
            <w:tcW w:w="3279" w:type="dxa"/>
            <w:vAlign w:val="center"/>
          </w:tcPr>
          <w:p>
            <w:pPr>
              <w:jc w:val="left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关于讲一堂课与讲一门课问题</w:t>
            </w:r>
          </w:p>
        </w:tc>
        <w:tc>
          <w:tcPr>
            <w:tcW w:w="1320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sz w:val="18"/>
                <w:szCs w:val="18"/>
              </w:rPr>
              <w:t>12月4日</w:t>
            </w:r>
          </w:p>
        </w:tc>
        <w:tc>
          <w:tcPr>
            <w:tcW w:w="2931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薛克宗（清华大学）</w:t>
            </w:r>
          </w:p>
        </w:tc>
        <w:tc>
          <w:tcPr>
            <w:tcW w:w="804" w:type="dxa"/>
            <w:vMerge w:val="continue"/>
          </w:tcPr>
          <w:p>
            <w:pPr>
              <w:rPr>
                <w:rFonts w:ascii="宋体" w:cs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563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28</w:t>
            </w:r>
          </w:p>
        </w:tc>
        <w:tc>
          <w:tcPr>
            <w:tcW w:w="3279" w:type="dxa"/>
            <w:vAlign w:val="center"/>
          </w:tcPr>
          <w:p>
            <w:pPr>
              <w:jc w:val="left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 xml:space="preserve">领导力教学中的中国传统文化的创造性转化与传播 </w:t>
            </w:r>
          </w:p>
        </w:tc>
        <w:tc>
          <w:tcPr>
            <w:tcW w:w="1320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12月5日</w:t>
            </w:r>
          </w:p>
        </w:tc>
        <w:tc>
          <w:tcPr>
            <w:tcW w:w="2931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李永瑞（北京师范大学）</w:t>
            </w:r>
          </w:p>
        </w:tc>
        <w:tc>
          <w:tcPr>
            <w:tcW w:w="804" w:type="dxa"/>
            <w:vMerge w:val="continue"/>
          </w:tcPr>
          <w:p>
            <w:pPr>
              <w:rPr>
                <w:rFonts w:ascii="宋体" w:cs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563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29</w:t>
            </w:r>
          </w:p>
        </w:tc>
        <w:tc>
          <w:tcPr>
            <w:tcW w:w="3279" w:type="dxa"/>
            <w:vAlign w:val="center"/>
          </w:tcPr>
          <w:p>
            <w:pPr>
              <w:jc w:val="left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 xml:space="preserve">用新媒体新技术使思政课活起来 </w:t>
            </w:r>
          </w:p>
        </w:tc>
        <w:tc>
          <w:tcPr>
            <w:tcW w:w="1320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12月6日</w:t>
            </w:r>
          </w:p>
        </w:tc>
        <w:tc>
          <w:tcPr>
            <w:tcW w:w="2931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杨东杰（中国石油大学）</w:t>
            </w:r>
          </w:p>
        </w:tc>
        <w:tc>
          <w:tcPr>
            <w:tcW w:w="804" w:type="dxa"/>
            <w:vMerge w:val="continue"/>
          </w:tcPr>
          <w:p>
            <w:pPr>
              <w:rPr>
                <w:rFonts w:ascii="宋体" w:cs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563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30</w:t>
            </w:r>
          </w:p>
        </w:tc>
        <w:tc>
          <w:tcPr>
            <w:tcW w:w="3279" w:type="dxa"/>
            <w:vAlign w:val="center"/>
          </w:tcPr>
          <w:p>
            <w:pPr>
              <w:jc w:val="left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 xml:space="preserve">BOPPPS（微格）教学设计要点 </w:t>
            </w:r>
          </w:p>
        </w:tc>
        <w:tc>
          <w:tcPr>
            <w:tcW w:w="1320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12月10日</w:t>
            </w:r>
          </w:p>
        </w:tc>
        <w:tc>
          <w:tcPr>
            <w:tcW w:w="2931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王积田（东北农业大学）</w:t>
            </w:r>
          </w:p>
        </w:tc>
        <w:tc>
          <w:tcPr>
            <w:tcW w:w="804" w:type="dxa"/>
            <w:vMerge w:val="continue"/>
          </w:tcPr>
          <w:p>
            <w:pPr>
              <w:rPr>
                <w:rFonts w:ascii="宋体" w:cs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563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31</w:t>
            </w:r>
          </w:p>
        </w:tc>
        <w:tc>
          <w:tcPr>
            <w:tcW w:w="3279" w:type="dxa"/>
            <w:vAlign w:val="center"/>
          </w:tcPr>
          <w:p>
            <w:pPr>
              <w:jc w:val="left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医学教育的回顾与思考</w:t>
            </w:r>
          </w:p>
        </w:tc>
        <w:tc>
          <w:tcPr>
            <w:tcW w:w="1320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sz w:val="18"/>
                <w:szCs w:val="18"/>
              </w:rPr>
              <w:t>12月11日</w:t>
            </w:r>
          </w:p>
        </w:tc>
        <w:tc>
          <w:tcPr>
            <w:tcW w:w="2931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王维民（北京大学）</w:t>
            </w:r>
          </w:p>
        </w:tc>
        <w:tc>
          <w:tcPr>
            <w:tcW w:w="804" w:type="dxa"/>
            <w:vMerge w:val="continue"/>
          </w:tcPr>
          <w:p>
            <w:pPr>
              <w:rPr>
                <w:rFonts w:ascii="宋体" w:cs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563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32</w:t>
            </w:r>
          </w:p>
        </w:tc>
        <w:tc>
          <w:tcPr>
            <w:tcW w:w="3279" w:type="dxa"/>
            <w:vAlign w:val="center"/>
          </w:tcPr>
          <w:p>
            <w:pPr>
              <w:jc w:val="left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职业院校教师教学能力提升</w:t>
            </w:r>
          </w:p>
        </w:tc>
        <w:tc>
          <w:tcPr>
            <w:tcW w:w="1320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12月12日</w:t>
            </w:r>
          </w:p>
        </w:tc>
        <w:tc>
          <w:tcPr>
            <w:tcW w:w="2931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宫谦（北京农业职业学院）</w:t>
            </w:r>
          </w:p>
        </w:tc>
        <w:tc>
          <w:tcPr>
            <w:tcW w:w="804" w:type="dxa"/>
            <w:vMerge w:val="continue"/>
          </w:tcPr>
          <w:p>
            <w:pPr>
              <w:rPr>
                <w:rFonts w:ascii="宋体" w:cs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563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33</w:t>
            </w:r>
          </w:p>
        </w:tc>
        <w:tc>
          <w:tcPr>
            <w:tcW w:w="3279" w:type="dxa"/>
            <w:vAlign w:val="center"/>
          </w:tcPr>
          <w:p>
            <w:pPr>
              <w:jc w:val="left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 xml:space="preserve">混合式教学设计与实践 </w:t>
            </w:r>
          </w:p>
        </w:tc>
        <w:tc>
          <w:tcPr>
            <w:tcW w:w="1320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12月17日</w:t>
            </w:r>
          </w:p>
        </w:tc>
        <w:tc>
          <w:tcPr>
            <w:tcW w:w="2931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沈群（南方科技大学）</w:t>
            </w:r>
          </w:p>
        </w:tc>
        <w:tc>
          <w:tcPr>
            <w:tcW w:w="804" w:type="dxa"/>
            <w:vMerge w:val="continue"/>
          </w:tcPr>
          <w:p>
            <w:pPr>
              <w:rPr>
                <w:rFonts w:ascii="宋体" w:cs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563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34</w:t>
            </w:r>
          </w:p>
        </w:tc>
        <w:tc>
          <w:tcPr>
            <w:tcW w:w="3279" w:type="dxa"/>
            <w:vAlign w:val="center"/>
          </w:tcPr>
          <w:p>
            <w:pPr>
              <w:jc w:val="left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sz w:val="18"/>
                <w:szCs w:val="18"/>
              </w:rPr>
              <w:t>“互联网+”创新创业教学内容升级</w:t>
            </w:r>
          </w:p>
        </w:tc>
        <w:tc>
          <w:tcPr>
            <w:tcW w:w="1320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12月24日</w:t>
            </w:r>
          </w:p>
        </w:tc>
        <w:tc>
          <w:tcPr>
            <w:tcW w:w="2931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刘玉峰（黑龙江大学）</w:t>
            </w:r>
          </w:p>
        </w:tc>
        <w:tc>
          <w:tcPr>
            <w:tcW w:w="804" w:type="dxa"/>
            <w:vMerge w:val="continue"/>
          </w:tcPr>
          <w:p>
            <w:pPr>
              <w:rPr>
                <w:rFonts w:ascii="宋体" w:cs="Times New Roman"/>
                <w:color w:val="000000"/>
                <w:sz w:val="18"/>
                <w:szCs w:val="18"/>
              </w:rPr>
            </w:pPr>
          </w:p>
        </w:tc>
      </w:tr>
    </w:tbl>
    <w:p>
      <w:pPr>
        <w:widowControl/>
        <w:jc w:val="left"/>
        <w:rPr>
          <w:rFonts w:ascii="汉仪仿宋简" w:eastAsia="汉仪仿宋简" w:cs="Times New Roman"/>
          <w:sz w:val="28"/>
          <w:szCs w:val="28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汉仪仿宋简">
    <w:altName w:val="Arial Unicode MS"/>
    <w:panose1 w:val="00000000000000000000"/>
    <w:charset w:val="86"/>
    <w:family w:val="modern"/>
    <w:pitch w:val="default"/>
    <w:sig w:usb0="00000000" w:usb1="00000000" w:usb2="00000012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255819"/>
    <w:rsid w:val="53255819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Office_10.1.0.7521_F1E327BC-269C-435d-A152-05C5408002CA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2018-09-29T00:58:00Z</dcterms:created>
  <dc:creator>刘通</dc:creator>
  <cp:lastModifiedBy>刘通</cp:lastModifiedBy>
  <dcterms:modified xsi:type="dcterms:W3CDTF">2018-09-29T01:04:34Z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