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2</w:t>
      </w:r>
    </w:p>
    <w:p>
      <w:pPr>
        <w:jc w:val="center"/>
        <w:rPr>
          <w:rFonts w:ascii="仿宋" w:hAnsi="仿宋" w:eastAsia="仿宋" w:cs="Times New Roman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青海大学课程思政教学设计评分标准</w:t>
      </w:r>
    </w:p>
    <w:tbl>
      <w:tblPr>
        <w:tblStyle w:val="3"/>
        <w:tblW w:w="93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529"/>
        <w:gridCol w:w="9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52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992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992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教学目标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根据教学大纲，能够从知识、技能、学习态度与价值观等方面设定教学目标。以专业知识为载体，加强学生思想政治教育，让课堂主渠道功能实现最大化。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信息量充足，符合学生认知规律。应用思想政治理论教育的学科思维处理教材，组织教学内容，融入爱国情怀、法制意识、社会责任、人文精神、仁爱之心等要素，激发学生认知、情感和行为的认同，实现知识传授和价值引领相统一、教书与育人相统一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学情分析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根据学生的实际情况，列出学生的认知特征、起点水平和情感态度准备情况、信息技术技能等，对可能出现的情况进行教学预测并有解决预案。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科特点、教学内容和学生特征选择合适的教学策略；遵照学生的认知规律恰当选择教学方法，注重多种教学方法的优化组合；各种知识点的教学过程结构类型与所选择的教学方法配套，教学过程结构自然流畅，组织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教学重难点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根据课程的信息和学生的专业特点，突出该课程的重点，并融合学生思想政治教育。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根据课程的特点和学生的专业要求，建设该课程的难点，提出解决方案及思路。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课堂教学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环节设计</w:t>
            </w:r>
          </w:p>
        </w:tc>
        <w:tc>
          <w:tcPr>
            <w:tcW w:w="5529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讲授、板书、媒体技术等设计合理。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能够体现师生互动和生生互动，包括课上和课下互动。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课外自主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学习设计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能够为学生搭建课外学习平台、引导学生进行自主学习和自主评价。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教学评价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教学效果的测量和评价方法得当，体现形成性评价的要素。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教学反思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能够对教学内容和过程进行梳理和反思，并做到适时调整，能够提出改进教学的方法。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3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C6FBC"/>
    <w:rsid w:val="344C6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2018-05-14T02:14:00Z</dcterms:created>
  <dc:creator>刘通</dc:creator>
  <cp:lastModifiedBy>刘通</cp:lastModifiedBy>
  <dcterms:modified xsi:type="dcterms:W3CDTF">2018-05-14T02:14:19Z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